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1A5AA" w14:textId="77777777" w:rsidR="00784FB0" w:rsidRPr="006B00DC" w:rsidRDefault="00784FB0" w:rsidP="00784FB0">
      <w:pPr>
        <w:rPr>
          <w:b/>
          <w:bCs/>
          <w:color w:val="5B9BD5"/>
          <w:sz w:val="28"/>
          <w:szCs w:val="32"/>
        </w:rPr>
      </w:pPr>
      <w:bookmarkStart w:id="0" w:name="_Hlk144321216"/>
      <w:r w:rsidRPr="006B00DC">
        <w:rPr>
          <w:b/>
          <w:bCs/>
          <w:color w:val="5B9BD5"/>
          <w:sz w:val="28"/>
          <w:szCs w:val="32"/>
        </w:rPr>
        <w:t>SAN DIEGO SEND-OFF</w:t>
      </w:r>
    </w:p>
    <w:p w14:paraId="551D5B86" w14:textId="4084C4A6" w:rsidR="00C55474" w:rsidRPr="006B00DC" w:rsidRDefault="00EF2A52" w:rsidP="00C55474">
      <w:pPr>
        <w:rPr>
          <w:rFonts w:asciiTheme="minorHAnsi" w:hAnsiTheme="minorHAnsi" w:cstheme="minorBidi"/>
          <w:b/>
          <w:bCs/>
          <w:color w:val="1F497D"/>
          <w:sz w:val="21"/>
          <w:szCs w:val="21"/>
        </w:rPr>
      </w:pPr>
      <w:r>
        <w:rPr>
          <w:i/>
          <w:iCs/>
          <w:color w:val="5B9BD5"/>
          <w:sz w:val="21"/>
          <w:szCs w:val="21"/>
        </w:rPr>
        <w:t>Fri</w:t>
      </w:r>
      <w:r w:rsidR="000C1339" w:rsidRPr="006B00DC">
        <w:rPr>
          <w:i/>
          <w:iCs/>
          <w:color w:val="5B9BD5"/>
          <w:sz w:val="21"/>
          <w:szCs w:val="21"/>
        </w:rPr>
        <w:t>da</w:t>
      </w:r>
      <w:r w:rsidR="00003B85" w:rsidRPr="006B00DC">
        <w:rPr>
          <w:i/>
          <w:iCs/>
          <w:color w:val="5B9BD5"/>
          <w:sz w:val="21"/>
          <w:szCs w:val="21"/>
        </w:rPr>
        <w:t>y</w:t>
      </w:r>
      <w:r w:rsidR="00E335FA">
        <w:rPr>
          <w:i/>
          <w:iCs/>
          <w:color w:val="5B9BD5"/>
          <w:sz w:val="21"/>
          <w:szCs w:val="21"/>
        </w:rPr>
        <w:t xml:space="preserve">, </w:t>
      </w:r>
      <w:r>
        <w:rPr>
          <w:i/>
          <w:iCs/>
          <w:color w:val="5B9BD5"/>
          <w:sz w:val="21"/>
          <w:szCs w:val="21"/>
        </w:rPr>
        <w:t>May</w:t>
      </w:r>
      <w:r w:rsidR="007D211A">
        <w:rPr>
          <w:i/>
          <w:iCs/>
          <w:color w:val="5B9BD5"/>
          <w:sz w:val="21"/>
          <w:szCs w:val="21"/>
        </w:rPr>
        <w:t xml:space="preserve"> 3</w:t>
      </w:r>
      <w:r>
        <w:rPr>
          <w:i/>
          <w:iCs/>
          <w:color w:val="5B9BD5"/>
          <w:sz w:val="21"/>
          <w:szCs w:val="21"/>
        </w:rPr>
        <w:t>1s</w:t>
      </w:r>
      <w:r w:rsidR="00335BAA">
        <w:rPr>
          <w:i/>
          <w:iCs/>
          <w:color w:val="5B9BD5"/>
          <w:sz w:val="21"/>
          <w:szCs w:val="21"/>
        </w:rPr>
        <w:t>t</w:t>
      </w:r>
      <w:r w:rsidR="00FB0C22" w:rsidRPr="006B00DC">
        <w:rPr>
          <w:i/>
          <w:iCs/>
          <w:color w:val="5B9BD5"/>
          <w:sz w:val="21"/>
          <w:szCs w:val="21"/>
        </w:rPr>
        <w:t>, 202</w:t>
      </w:r>
      <w:r w:rsidR="003638DD">
        <w:rPr>
          <w:i/>
          <w:iCs/>
          <w:color w:val="5B9BD5"/>
          <w:sz w:val="21"/>
          <w:szCs w:val="21"/>
        </w:rPr>
        <w:t>4</w:t>
      </w:r>
    </w:p>
    <w:p w14:paraId="624D0BC1" w14:textId="77777777" w:rsidR="00784FB0" w:rsidRPr="006B00DC" w:rsidRDefault="00784FB0" w:rsidP="00784FB0">
      <w:pPr>
        <w:rPr>
          <w:b/>
          <w:bCs/>
          <w:color w:val="5B9BD5"/>
          <w:sz w:val="21"/>
          <w:szCs w:val="21"/>
        </w:rPr>
      </w:pPr>
    </w:p>
    <w:p w14:paraId="40C8D06B" w14:textId="51251425" w:rsidR="00853337" w:rsidRDefault="000F6C21" w:rsidP="000F6C21">
      <w:pPr>
        <w:rPr>
          <w:sz w:val="21"/>
          <w:szCs w:val="21"/>
        </w:rPr>
      </w:pPr>
      <w:r w:rsidRPr="006B00DC">
        <w:rPr>
          <w:sz w:val="21"/>
          <w:szCs w:val="21"/>
        </w:rPr>
        <w:t>If you are receiving this email, it is because you</w:t>
      </w:r>
      <w:r w:rsidR="001E5CD4" w:rsidRPr="006B00DC">
        <w:rPr>
          <w:sz w:val="21"/>
          <w:szCs w:val="21"/>
        </w:rPr>
        <w:t xml:space="preserve"> are a client and/or friend of t</w:t>
      </w:r>
      <w:r w:rsidRPr="006B00DC">
        <w:rPr>
          <w:sz w:val="21"/>
          <w:szCs w:val="21"/>
        </w:rPr>
        <w:t xml:space="preserve">he </w:t>
      </w:r>
      <w:r w:rsidR="008122E8">
        <w:rPr>
          <w:sz w:val="21"/>
          <w:szCs w:val="21"/>
        </w:rPr>
        <w:t>La Jolla</w:t>
      </w:r>
      <w:r w:rsidRPr="006B00DC">
        <w:rPr>
          <w:sz w:val="21"/>
          <w:szCs w:val="21"/>
        </w:rPr>
        <w:t xml:space="preserve"> </w:t>
      </w:r>
      <w:r w:rsidR="00695F62">
        <w:rPr>
          <w:sz w:val="21"/>
          <w:szCs w:val="21"/>
        </w:rPr>
        <w:t xml:space="preserve">Private </w:t>
      </w:r>
      <w:r w:rsidRPr="006B00DC">
        <w:rPr>
          <w:sz w:val="21"/>
          <w:szCs w:val="21"/>
        </w:rPr>
        <w:t xml:space="preserve">Wealth Group of Wells Fargo Advisors. The idea behind the </w:t>
      </w:r>
      <w:r w:rsidRPr="006B00DC">
        <w:rPr>
          <w:b/>
          <w:bCs/>
          <w:i/>
          <w:iCs/>
          <w:color w:val="5B9BD5"/>
          <w:sz w:val="21"/>
          <w:szCs w:val="21"/>
        </w:rPr>
        <w:t>San Diego Send-Off</w:t>
      </w:r>
      <w:r w:rsidRPr="006B00DC">
        <w:rPr>
          <w:i/>
          <w:iCs/>
          <w:sz w:val="21"/>
          <w:szCs w:val="21"/>
        </w:rPr>
        <w:t xml:space="preserve"> </w:t>
      </w:r>
      <w:r w:rsidRPr="006B00DC">
        <w:rPr>
          <w:sz w:val="21"/>
          <w:szCs w:val="21"/>
        </w:rPr>
        <w:t xml:space="preserve">is to keep you abreast of interesting trends we are seeing in the market/world. </w:t>
      </w:r>
    </w:p>
    <w:p w14:paraId="72F06286" w14:textId="77777777" w:rsidR="00784FB0" w:rsidRPr="006B00DC" w:rsidRDefault="00784FB0" w:rsidP="00784FB0">
      <w:pPr>
        <w:rPr>
          <w:sz w:val="21"/>
          <w:szCs w:val="21"/>
        </w:rPr>
      </w:pPr>
    </w:p>
    <w:p w14:paraId="0B009DBA" w14:textId="77777777" w:rsidR="00784FB0" w:rsidRDefault="00784FB0" w:rsidP="00784FB0">
      <w:pPr>
        <w:rPr>
          <w:sz w:val="21"/>
          <w:szCs w:val="21"/>
        </w:rPr>
      </w:pPr>
      <w:r w:rsidRPr="006B00DC">
        <w:rPr>
          <w:sz w:val="21"/>
          <w:szCs w:val="21"/>
        </w:rPr>
        <w:t>Best Regards,</w:t>
      </w:r>
    </w:p>
    <w:p w14:paraId="266C7F36" w14:textId="77777777" w:rsidR="00E939D2" w:rsidRDefault="00E939D2" w:rsidP="00784FB0">
      <w:pPr>
        <w:rPr>
          <w:sz w:val="21"/>
          <w:szCs w:val="21"/>
        </w:rPr>
      </w:pPr>
    </w:p>
    <w:p w14:paraId="10818010" w14:textId="5FCEF66B" w:rsidR="00E939D2" w:rsidRPr="006B00DC" w:rsidRDefault="00E939D2" w:rsidP="00784FB0">
      <w:pPr>
        <w:rPr>
          <w:sz w:val="21"/>
          <w:szCs w:val="21"/>
        </w:rPr>
      </w:pPr>
      <w:r>
        <w:rPr>
          <w:noProof/>
        </w:rPr>
        <w:drawing>
          <wp:inline distT="0" distB="0" distL="0" distR="0" wp14:anchorId="21D04582" wp14:editId="0965CBB1">
            <wp:extent cx="5943600" cy="9194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919480"/>
                    </a:xfrm>
                    <a:prstGeom prst="rect">
                      <a:avLst/>
                    </a:prstGeom>
                  </pic:spPr>
                </pic:pic>
              </a:graphicData>
            </a:graphic>
          </wp:inline>
        </w:drawing>
      </w:r>
    </w:p>
    <w:p w14:paraId="6B1CF4BB" w14:textId="095AFC44" w:rsidR="009A20E4" w:rsidRDefault="009A20E4" w:rsidP="00B10BC9">
      <w:pPr>
        <w:rPr>
          <w:rFonts w:ascii="Verdana" w:eastAsia="Times New Roman" w:hAnsi="Verdana" w:cs="Times New Roman"/>
          <w:sz w:val="14"/>
          <w:szCs w:val="14"/>
        </w:rPr>
      </w:pPr>
    </w:p>
    <w:p w14:paraId="27883D51" w14:textId="0290DA0E" w:rsidR="00A277B9" w:rsidRPr="008122E8" w:rsidRDefault="00AD7E1F" w:rsidP="00804BA1">
      <w:pPr>
        <w:rPr>
          <w:rFonts w:ascii="Verdana" w:eastAsia="Times New Roman" w:hAnsi="Verdana" w:cs="Times New Roman"/>
          <w:sz w:val="16"/>
          <w:szCs w:val="16"/>
        </w:rPr>
      </w:pPr>
      <w:r w:rsidRPr="008122E8">
        <w:rPr>
          <w:rFonts w:ascii="Verdana" w:eastAsia="Times New Roman" w:hAnsi="Verdana" w:cs="Times New Roman"/>
          <w:b/>
          <w:bCs/>
          <w:sz w:val="16"/>
          <w:szCs w:val="16"/>
        </w:rPr>
        <w:t>La Jolla</w:t>
      </w:r>
      <w:r w:rsidR="00DC139A" w:rsidRPr="008122E8">
        <w:rPr>
          <w:rFonts w:ascii="Verdana" w:eastAsia="Times New Roman" w:hAnsi="Verdana" w:cs="Times New Roman"/>
          <w:b/>
          <w:bCs/>
          <w:sz w:val="16"/>
          <w:szCs w:val="16"/>
        </w:rPr>
        <w:t xml:space="preserve"> Private Wealth Group</w:t>
      </w:r>
      <w:r w:rsidR="00B10BC9" w:rsidRPr="008122E8">
        <w:rPr>
          <w:rFonts w:ascii="Verdana" w:eastAsia="Times New Roman" w:hAnsi="Verdana" w:cs="Times New Roman"/>
          <w:b/>
          <w:bCs/>
          <w:sz w:val="16"/>
          <w:szCs w:val="16"/>
        </w:rPr>
        <w:t>:</w:t>
      </w:r>
      <w:r w:rsidR="00B10BC9" w:rsidRPr="008122E8">
        <w:rPr>
          <w:rFonts w:ascii="Verdana" w:eastAsia="Times New Roman" w:hAnsi="Verdana" w:cs="Times New Roman"/>
          <w:sz w:val="16"/>
          <w:szCs w:val="16"/>
        </w:rPr>
        <w:t xml:space="preserve"> </w:t>
      </w:r>
      <w:hyperlink r:id="rId9" w:anchor="59bd938c42f0" w:history="1">
        <w:r w:rsidR="00DC139A" w:rsidRPr="008122E8">
          <w:rPr>
            <w:rStyle w:val="Hyperlink"/>
            <w:rFonts w:ascii="Verdana" w:eastAsia="Times New Roman" w:hAnsi="Verdana" w:cs="Times New Roman"/>
            <w:sz w:val="16"/>
            <w:szCs w:val="16"/>
          </w:rPr>
          <w:t>202</w:t>
        </w:r>
        <w:r w:rsidR="00110758">
          <w:rPr>
            <w:rStyle w:val="Hyperlink"/>
            <w:rFonts w:ascii="Verdana" w:eastAsia="Times New Roman" w:hAnsi="Verdana" w:cs="Times New Roman"/>
            <w:sz w:val="16"/>
            <w:szCs w:val="16"/>
          </w:rPr>
          <w:t>4</w:t>
        </w:r>
        <w:r w:rsidR="00DC139A" w:rsidRPr="008122E8">
          <w:rPr>
            <w:rStyle w:val="Hyperlink"/>
            <w:rFonts w:ascii="Verdana" w:eastAsia="Times New Roman" w:hAnsi="Verdana" w:cs="Times New Roman"/>
            <w:sz w:val="16"/>
            <w:szCs w:val="16"/>
          </w:rPr>
          <w:t xml:space="preserve"> Forbes Best-In-State Wealth Management Teams</w:t>
        </w:r>
      </w:hyperlink>
      <w:r w:rsidR="00B10BC9" w:rsidRPr="008122E8">
        <w:rPr>
          <w:rFonts w:ascii="Verdana" w:eastAsia="Times New Roman" w:hAnsi="Verdana" w:cs="Times New Roman"/>
          <w:sz w:val="16"/>
          <w:szCs w:val="16"/>
        </w:rPr>
        <w:t xml:space="preserve">. </w:t>
      </w:r>
      <w:r w:rsidR="00C46BC4" w:rsidRPr="00C46BC4">
        <w:rPr>
          <w:rFonts w:ascii="Verdana" w:eastAsia="Times New Roman" w:hAnsi="Verdana" w:cs="Times New Roman"/>
          <w:sz w:val="16"/>
          <w:szCs w:val="16"/>
        </w:rPr>
        <w:t xml:space="preserve">Source: Forbes.com. 2024 Forbes Best-in-State Wealth Management Teams: Awarded January 2024; Data compiled by SHOOK Research LLC based on the </w:t>
      </w:r>
      <w:proofErr w:type="gramStart"/>
      <w:r w:rsidR="00C46BC4" w:rsidRPr="00C46BC4">
        <w:rPr>
          <w:rFonts w:ascii="Verdana" w:eastAsia="Times New Roman" w:hAnsi="Verdana" w:cs="Times New Roman"/>
          <w:sz w:val="16"/>
          <w:szCs w:val="16"/>
        </w:rPr>
        <w:t>time period</w:t>
      </w:r>
      <w:proofErr w:type="gramEnd"/>
      <w:r w:rsidR="00C46BC4" w:rsidRPr="00C46BC4">
        <w:rPr>
          <w:rFonts w:ascii="Verdana" w:eastAsia="Times New Roman" w:hAnsi="Verdana" w:cs="Times New Roman"/>
          <w:sz w:val="16"/>
          <w:szCs w:val="16"/>
        </w:rPr>
        <w:t xml:space="preserve"> from 3/31/22-3/31/23</w:t>
      </w:r>
      <w:r w:rsidR="00C46BC4">
        <w:rPr>
          <w:rFonts w:ascii="Verdana" w:eastAsia="Times New Roman" w:hAnsi="Verdana" w:cs="Times New Roman"/>
          <w:sz w:val="16"/>
          <w:szCs w:val="16"/>
        </w:rPr>
        <w:t xml:space="preserve">. </w:t>
      </w:r>
      <w:r w:rsidR="00C46BC4" w:rsidRPr="00C46BC4">
        <w:rPr>
          <w:rFonts w:ascii="Verdana" w:eastAsia="Times New Roman" w:hAnsi="Verdana" w:cs="Times New Roman"/>
          <w:sz w:val="16"/>
          <w:szCs w:val="16"/>
        </w:rPr>
        <w:t>Fee paid for use of marketing materials.</w:t>
      </w:r>
      <w:r w:rsidR="001832E5">
        <w:rPr>
          <w:rFonts w:ascii="Verdana" w:eastAsia="Times New Roman" w:hAnsi="Verdana" w:cs="Times New Roman"/>
          <w:sz w:val="16"/>
          <w:szCs w:val="16"/>
        </w:rPr>
        <w:t xml:space="preserve"> </w:t>
      </w:r>
      <w:r w:rsidR="000F75F6" w:rsidRPr="008122E8">
        <w:rPr>
          <w:rFonts w:ascii="Verdana" w:hAnsi="Verdana"/>
          <w:sz w:val="16"/>
          <w:szCs w:val="16"/>
          <w:lang w:val="en"/>
        </w:rPr>
        <w:t xml:space="preserve">The Forbes Best-In-State Wealth </w:t>
      </w:r>
      <w:r w:rsidR="00DC139A" w:rsidRPr="008122E8">
        <w:rPr>
          <w:rFonts w:ascii="Verdana" w:hAnsi="Verdana"/>
          <w:sz w:val="16"/>
          <w:szCs w:val="16"/>
          <w:lang w:val="en"/>
        </w:rPr>
        <w:t>Management Teams</w:t>
      </w:r>
      <w:r w:rsidR="000F75F6" w:rsidRPr="008122E8">
        <w:rPr>
          <w:rFonts w:ascii="Verdana" w:hAnsi="Verdana"/>
          <w:sz w:val="16"/>
          <w:szCs w:val="16"/>
          <w:lang w:val="en"/>
        </w:rPr>
        <w:t xml:space="preserve"> rating algorithm is based on the previous year’s industry experience, interviews, compliance records, assets under management, </w:t>
      </w:r>
      <w:proofErr w:type="gramStart"/>
      <w:r w:rsidR="000F75F6" w:rsidRPr="008122E8">
        <w:rPr>
          <w:rFonts w:ascii="Verdana" w:hAnsi="Verdana"/>
          <w:sz w:val="16"/>
          <w:szCs w:val="16"/>
          <w:lang w:val="en"/>
        </w:rPr>
        <w:t>revenue</w:t>
      </w:r>
      <w:proofErr w:type="gramEnd"/>
      <w:r w:rsidR="000F75F6" w:rsidRPr="008122E8">
        <w:rPr>
          <w:rFonts w:ascii="Verdana" w:hAnsi="Verdana"/>
          <w:sz w:val="16"/>
          <w:szCs w:val="16"/>
          <w:lang w:val="en"/>
        </w:rPr>
        <w:t xml:space="preserve"> and other criteria by SHOOK Research, LLC</w:t>
      </w:r>
      <w:r w:rsidR="00100C05" w:rsidRPr="008122E8">
        <w:rPr>
          <w:rFonts w:ascii="Verdana" w:hAnsi="Verdana"/>
          <w:sz w:val="16"/>
          <w:szCs w:val="16"/>
          <w:lang w:val="en"/>
        </w:rPr>
        <w:t xml:space="preserve">. </w:t>
      </w:r>
      <w:r w:rsidR="000F75F6" w:rsidRPr="008122E8">
        <w:rPr>
          <w:rFonts w:ascii="Verdana" w:hAnsi="Verdana"/>
          <w:sz w:val="16"/>
          <w:szCs w:val="16"/>
          <w:lang w:val="en"/>
        </w:rPr>
        <w:t>Investment performance is not a criterion. Self-completed survey was used for rating. This rating is not related to the quality of the investment advice and based solely on the disclosed criteria.</w:t>
      </w:r>
    </w:p>
    <w:p w14:paraId="49F6592B" w14:textId="4CDEF3FC" w:rsidR="00F57D76" w:rsidRDefault="00F57D76" w:rsidP="00F57D76">
      <w:pPr>
        <w:autoSpaceDE w:val="0"/>
        <w:autoSpaceDN w:val="0"/>
        <w:adjustRightInd w:val="0"/>
        <w:jc w:val="both"/>
        <w:rPr>
          <w:b/>
          <w:bCs/>
          <w:color w:val="5B9BD5"/>
        </w:rPr>
      </w:pPr>
    </w:p>
    <w:p w14:paraId="4BAD6022" w14:textId="211A6268" w:rsidR="004354FA" w:rsidRDefault="00EE1DC4" w:rsidP="004354FA">
      <w:pPr>
        <w:rPr>
          <w:rStyle w:val="Hyperlink"/>
          <w:b/>
          <w:bCs/>
          <w:color w:val="5B9BD5"/>
          <w:u w:val="none"/>
        </w:rPr>
      </w:pPr>
      <w:r>
        <w:rPr>
          <w:rStyle w:val="Hyperlink"/>
          <w:b/>
          <w:bCs/>
          <w:color w:val="5B9BD5"/>
          <w:u w:val="none"/>
        </w:rPr>
        <w:t xml:space="preserve">The cost of buying a new car hasn’t changed much…but insuring it </w:t>
      </w:r>
      <w:proofErr w:type="gramStart"/>
      <w:r>
        <w:rPr>
          <w:rStyle w:val="Hyperlink"/>
          <w:b/>
          <w:bCs/>
          <w:color w:val="5B9BD5"/>
          <w:u w:val="none"/>
        </w:rPr>
        <w:t>has</w:t>
      </w:r>
      <w:proofErr w:type="gramEnd"/>
    </w:p>
    <w:p w14:paraId="3350B577" w14:textId="77777777" w:rsidR="00CA0C0A" w:rsidRPr="00BD306D" w:rsidRDefault="00CA0C0A" w:rsidP="004354FA">
      <w:pPr>
        <w:rPr>
          <w:sz w:val="12"/>
        </w:rPr>
      </w:pPr>
    </w:p>
    <w:p w14:paraId="15DBDFFE" w14:textId="4EE785DA" w:rsidR="009D1515" w:rsidRDefault="00EE1DC4" w:rsidP="009D1515">
      <w:pPr>
        <w:autoSpaceDE w:val="0"/>
        <w:autoSpaceDN w:val="0"/>
        <w:adjustRightInd w:val="0"/>
        <w:jc w:val="center"/>
        <w:rPr>
          <w:rFonts w:ascii="Times New Roman" w:hAnsi="Times New Roman" w:cs="Times New Roman"/>
          <w:sz w:val="16"/>
          <w:szCs w:val="14"/>
          <w:lang w:eastAsia="x-none"/>
        </w:rPr>
      </w:pPr>
      <w:r>
        <w:rPr>
          <w:rFonts w:ascii="Times New Roman" w:hAnsi="Times New Roman" w:cs="Times New Roman"/>
          <w:noProof/>
          <w:sz w:val="16"/>
          <w:szCs w:val="14"/>
          <w:lang w:eastAsia="x-none"/>
        </w:rPr>
        <w:lastRenderedPageBreak/>
        <w:drawing>
          <wp:inline distT="0" distB="0" distL="0" distR="0" wp14:anchorId="2306D1FE" wp14:editId="575B67E7">
            <wp:extent cx="4371975" cy="4371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2550" cy="4372550"/>
                    </a:xfrm>
                    <a:prstGeom prst="rect">
                      <a:avLst/>
                    </a:prstGeom>
                  </pic:spPr>
                </pic:pic>
              </a:graphicData>
            </a:graphic>
          </wp:inline>
        </w:drawing>
      </w:r>
    </w:p>
    <w:p w14:paraId="68EC454D" w14:textId="04586E41" w:rsidR="00FA01D4" w:rsidRPr="00C82A48" w:rsidRDefault="00C82A48" w:rsidP="00C82A48">
      <w:pPr>
        <w:rPr>
          <w:b/>
          <w:bCs/>
          <w:color w:val="5B9BD5"/>
        </w:rPr>
      </w:pPr>
      <w:r>
        <w:rPr>
          <w:b/>
          <w:bCs/>
          <w:color w:val="5B9BD5"/>
        </w:rPr>
        <w:t>Over the past 10 years, rare whisky has been the only luxury good to outperform the S&amp;P 500</w:t>
      </w:r>
    </w:p>
    <w:p w14:paraId="346FC6E7" w14:textId="33C4B350" w:rsidR="00FA01D4" w:rsidRDefault="00C82A48" w:rsidP="009D1515">
      <w:pPr>
        <w:autoSpaceDE w:val="0"/>
        <w:autoSpaceDN w:val="0"/>
        <w:adjustRightInd w:val="0"/>
        <w:jc w:val="center"/>
        <w:rPr>
          <w:rFonts w:ascii="Times New Roman" w:hAnsi="Times New Roman" w:cs="Times New Roman"/>
          <w:sz w:val="16"/>
          <w:szCs w:val="14"/>
          <w:lang w:eastAsia="x-none"/>
        </w:rPr>
      </w:pPr>
      <w:r>
        <w:rPr>
          <w:rFonts w:ascii="Times New Roman" w:hAnsi="Times New Roman" w:cs="Times New Roman"/>
          <w:noProof/>
          <w:sz w:val="16"/>
          <w:szCs w:val="14"/>
          <w:lang w:eastAsia="x-none"/>
        </w:rPr>
        <w:lastRenderedPageBreak/>
        <w:drawing>
          <wp:inline distT="0" distB="0" distL="0" distR="0" wp14:anchorId="1C1FC3AE" wp14:editId="2A2EE180">
            <wp:extent cx="3483824" cy="4781550"/>
            <wp:effectExtent l="0" t="0" r="2540" b="0"/>
            <wp:docPr id="1" name="Picture 1"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os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5791" cy="4797974"/>
                    </a:xfrm>
                    <a:prstGeom prst="rect">
                      <a:avLst/>
                    </a:prstGeom>
                  </pic:spPr>
                </pic:pic>
              </a:graphicData>
            </a:graphic>
          </wp:inline>
        </w:drawing>
      </w:r>
    </w:p>
    <w:p w14:paraId="6E259499" w14:textId="77777777" w:rsidR="00CA0C0A" w:rsidRDefault="00CA0C0A" w:rsidP="00CA0C0A">
      <w:pPr>
        <w:autoSpaceDE w:val="0"/>
        <w:autoSpaceDN w:val="0"/>
        <w:adjustRightInd w:val="0"/>
        <w:jc w:val="both"/>
        <w:rPr>
          <w:b/>
          <w:bCs/>
          <w:color w:val="5B9BD5"/>
          <w:sz w:val="21"/>
          <w:szCs w:val="21"/>
        </w:rPr>
      </w:pPr>
    </w:p>
    <w:p w14:paraId="48894709" w14:textId="4D928845" w:rsidR="00CA0C0A" w:rsidRPr="003F5E65" w:rsidRDefault="00A703EA" w:rsidP="00CA0C0A">
      <w:pPr>
        <w:autoSpaceDE w:val="0"/>
        <w:autoSpaceDN w:val="0"/>
        <w:adjustRightInd w:val="0"/>
        <w:jc w:val="both"/>
        <w:rPr>
          <w:b/>
          <w:bCs/>
          <w:color w:val="5B9BD5"/>
          <w:sz w:val="21"/>
          <w:szCs w:val="21"/>
        </w:rPr>
      </w:pPr>
      <w:r>
        <w:rPr>
          <w:b/>
          <w:bCs/>
          <w:color w:val="5B9BD5"/>
          <w:sz w:val="21"/>
          <w:szCs w:val="21"/>
        </w:rPr>
        <w:t>Increased demand for electrification, cooling, &amp; back-up power supply in support of data centers should be tailwind for the Electrical Equipment, Building Products, &amp; Industrial Machinery sub-sectors</w:t>
      </w:r>
    </w:p>
    <w:p w14:paraId="012EB643" w14:textId="31CD8606" w:rsidR="00CA0C0A" w:rsidRDefault="00C82A48" w:rsidP="00CA0C0A">
      <w:pPr>
        <w:autoSpaceDE w:val="0"/>
        <w:autoSpaceDN w:val="0"/>
        <w:adjustRightInd w:val="0"/>
        <w:jc w:val="center"/>
        <w:rPr>
          <w:rFonts w:ascii="Times New Roman" w:hAnsi="Times New Roman" w:cs="Times New Roman"/>
          <w:sz w:val="16"/>
          <w:szCs w:val="14"/>
          <w:lang w:eastAsia="x-none"/>
        </w:rPr>
      </w:pPr>
      <w:r>
        <w:rPr>
          <w:noProof/>
        </w:rPr>
        <w:drawing>
          <wp:inline distT="0" distB="0" distL="0" distR="0" wp14:anchorId="349B573E" wp14:editId="56AC7077">
            <wp:extent cx="5895975" cy="23470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96714" cy="2347346"/>
                    </a:xfrm>
                    <a:prstGeom prst="rect">
                      <a:avLst/>
                    </a:prstGeom>
                  </pic:spPr>
                </pic:pic>
              </a:graphicData>
            </a:graphic>
          </wp:inline>
        </w:drawing>
      </w:r>
    </w:p>
    <w:p w14:paraId="57038538" w14:textId="2AEDD557" w:rsidR="00CA0C0A" w:rsidRDefault="00CA0C0A" w:rsidP="00DB5183">
      <w:pPr>
        <w:autoSpaceDE w:val="0"/>
        <w:autoSpaceDN w:val="0"/>
        <w:adjustRightInd w:val="0"/>
        <w:rPr>
          <w:rFonts w:asciiTheme="minorHAnsi" w:hAnsiTheme="minorHAnsi" w:cstheme="minorHAnsi"/>
          <w:sz w:val="14"/>
          <w:szCs w:val="12"/>
          <w:lang w:eastAsia="x-none"/>
        </w:rPr>
      </w:pPr>
      <w:r w:rsidRPr="00DB5183">
        <w:rPr>
          <w:rFonts w:asciiTheme="minorHAnsi" w:hAnsiTheme="minorHAnsi" w:cstheme="minorHAnsi"/>
          <w:sz w:val="14"/>
          <w:szCs w:val="12"/>
          <w:lang w:eastAsia="x-none"/>
        </w:rPr>
        <w:t>Sources:</w:t>
      </w:r>
      <w:r>
        <w:rPr>
          <w:rFonts w:asciiTheme="minorHAnsi" w:hAnsiTheme="minorHAnsi" w:cstheme="minorHAnsi"/>
          <w:sz w:val="14"/>
          <w:szCs w:val="12"/>
          <w:lang w:eastAsia="x-none"/>
        </w:rPr>
        <w:t xml:space="preserve"> </w:t>
      </w:r>
      <w:r w:rsidR="00C82A48">
        <w:rPr>
          <w:rFonts w:asciiTheme="minorHAnsi" w:hAnsiTheme="minorHAnsi" w:cstheme="minorHAnsi"/>
          <w:sz w:val="14"/>
          <w:szCs w:val="12"/>
          <w:lang w:eastAsia="x-none"/>
        </w:rPr>
        <w:t xml:space="preserve">FactSet and Wells Fargo Investment Institute. Based on calendar year data: 2024 and 2025 data represent consensus estimates from FactSet. Capex = Capital Expenditures. *Four largest global integrated oil majors by market capitalization (BP Plc, Chevron Corporation, Exxon Mobil Corporation, Shell Plc). **Four largest cloud infrastructure companies by market capitalization (Alphabet Inc., Amazon.com, Inc, Meta Platforms Inc, Microsoft Corporation). Forecasts and targets are based on certain assumptions and on views of market and economic conditions which are subject to change. </w:t>
      </w:r>
    </w:p>
    <w:p w14:paraId="285ABF0A" w14:textId="34CA1961" w:rsidR="009D1515" w:rsidRPr="008E16B4" w:rsidRDefault="00CF2930" w:rsidP="008E16B4">
      <w:pPr>
        <w:rPr>
          <w:b/>
          <w:color w:val="5B9BD5" w:themeColor="accent1"/>
        </w:rPr>
      </w:pPr>
      <w:r>
        <w:rPr>
          <w:b/>
          <w:color w:val="5B9BD5" w:themeColor="accent1"/>
        </w:rPr>
        <w:t xml:space="preserve">Higher rates and excess office/retail supply has hurt real estate related </w:t>
      </w:r>
      <w:proofErr w:type="gramStart"/>
      <w:r>
        <w:rPr>
          <w:b/>
          <w:color w:val="5B9BD5" w:themeColor="accent1"/>
        </w:rPr>
        <w:t>equities</w:t>
      </w:r>
      <w:proofErr w:type="gramEnd"/>
    </w:p>
    <w:p w14:paraId="38F802CD" w14:textId="358B2E14" w:rsidR="008E16B4" w:rsidRDefault="00CF2930" w:rsidP="00CF2930">
      <w:pPr>
        <w:jc w:val="center"/>
        <w:rPr>
          <w:rStyle w:val="Hyperlink"/>
          <w:b/>
          <w:bCs/>
          <w:color w:val="5B9BD5"/>
          <w:u w:val="none"/>
        </w:rPr>
      </w:pPr>
      <w:r>
        <w:rPr>
          <w:b/>
          <w:bCs/>
          <w:noProof/>
          <w:color w:val="5B9BD5"/>
        </w:rPr>
        <w:lastRenderedPageBreak/>
        <w:drawing>
          <wp:inline distT="0" distB="0" distL="0" distR="0" wp14:anchorId="377393FA" wp14:editId="483C692B">
            <wp:extent cx="3939558" cy="408622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1415" cy="4098523"/>
                    </a:xfrm>
                    <a:prstGeom prst="rect">
                      <a:avLst/>
                    </a:prstGeom>
                  </pic:spPr>
                </pic:pic>
              </a:graphicData>
            </a:graphic>
          </wp:inline>
        </w:drawing>
      </w:r>
    </w:p>
    <w:p w14:paraId="4E98540C" w14:textId="77777777" w:rsidR="008E16B4" w:rsidRDefault="008E16B4" w:rsidP="009C3292">
      <w:pPr>
        <w:rPr>
          <w:b/>
          <w:bCs/>
          <w:color w:val="5B9BD5"/>
        </w:rPr>
      </w:pPr>
    </w:p>
    <w:p w14:paraId="057FD389" w14:textId="53BC0A4F" w:rsidR="00C57630" w:rsidRDefault="003D1AC0" w:rsidP="009C3292">
      <w:pPr>
        <w:rPr>
          <w:b/>
          <w:bCs/>
          <w:color w:val="5B9BD5"/>
        </w:rPr>
      </w:pPr>
      <w:r>
        <w:rPr>
          <w:b/>
          <w:bCs/>
          <w:color w:val="5B9BD5"/>
        </w:rPr>
        <w:t xml:space="preserve">As regional banks pull-back on lending to private businesses, non-bank lending has grown </w:t>
      </w:r>
      <w:proofErr w:type="gramStart"/>
      <w:r>
        <w:rPr>
          <w:b/>
          <w:bCs/>
          <w:color w:val="5B9BD5"/>
        </w:rPr>
        <w:t>rapidly</w:t>
      </w:r>
      <w:proofErr w:type="gramEnd"/>
    </w:p>
    <w:p w14:paraId="785134F9" w14:textId="1D50712E" w:rsidR="003F5E65" w:rsidRDefault="003D1AC0" w:rsidP="003F5E65">
      <w:pPr>
        <w:jc w:val="center"/>
        <w:rPr>
          <w:b/>
          <w:bCs/>
          <w:color w:val="5B9BD5"/>
        </w:rPr>
      </w:pPr>
      <w:r>
        <w:rPr>
          <w:noProof/>
        </w:rPr>
        <w:drawing>
          <wp:inline distT="0" distB="0" distL="0" distR="0" wp14:anchorId="3212BD04" wp14:editId="47366511">
            <wp:extent cx="3753332" cy="3609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4241" cy="3639703"/>
                    </a:xfrm>
                    <a:prstGeom prst="rect">
                      <a:avLst/>
                    </a:prstGeom>
                  </pic:spPr>
                </pic:pic>
              </a:graphicData>
            </a:graphic>
          </wp:inline>
        </w:drawing>
      </w:r>
    </w:p>
    <w:p w14:paraId="3EECBE61" w14:textId="0AA4BCF0" w:rsidR="008E16B4" w:rsidRPr="003F5E65" w:rsidRDefault="00C42E56" w:rsidP="009C3292">
      <w:pPr>
        <w:rPr>
          <w:sz w:val="12"/>
        </w:rPr>
      </w:pPr>
      <w:r>
        <w:rPr>
          <w:rStyle w:val="Hyperlink"/>
          <w:b/>
          <w:bCs/>
          <w:color w:val="5B9BD5"/>
          <w:u w:val="none"/>
        </w:rPr>
        <w:lastRenderedPageBreak/>
        <w:t xml:space="preserve">U.S. oil producers have focused on profitability instead of increasing capital expenditures alongside rising oil </w:t>
      </w:r>
      <w:proofErr w:type="gramStart"/>
      <w:r>
        <w:rPr>
          <w:rStyle w:val="Hyperlink"/>
          <w:b/>
          <w:bCs/>
          <w:color w:val="5B9BD5"/>
          <w:u w:val="none"/>
        </w:rPr>
        <w:t>prices</w:t>
      </w:r>
      <w:proofErr w:type="gramEnd"/>
    </w:p>
    <w:p w14:paraId="279471CE" w14:textId="461979A3" w:rsidR="009D1515" w:rsidRDefault="00C42E56" w:rsidP="009D1515">
      <w:pPr>
        <w:autoSpaceDE w:val="0"/>
        <w:autoSpaceDN w:val="0"/>
        <w:adjustRightInd w:val="0"/>
        <w:jc w:val="center"/>
        <w:rPr>
          <w:rFonts w:ascii="Times New Roman" w:hAnsi="Times New Roman" w:cs="Times New Roman"/>
          <w:sz w:val="16"/>
          <w:szCs w:val="14"/>
          <w:lang w:eastAsia="x-none"/>
        </w:rPr>
      </w:pPr>
      <w:r w:rsidRPr="00C42E56">
        <w:rPr>
          <w:rFonts w:ascii="Times New Roman" w:hAnsi="Times New Roman" w:cs="Times New Roman"/>
          <w:noProof/>
          <w:sz w:val="16"/>
          <w:szCs w:val="14"/>
          <w:lang w:eastAsia="x-none"/>
        </w:rPr>
        <w:drawing>
          <wp:inline distT="0" distB="0" distL="0" distR="0" wp14:anchorId="5A5C4425" wp14:editId="70E8E85C">
            <wp:extent cx="5943600" cy="2609850"/>
            <wp:effectExtent l="0" t="0" r="0" b="0"/>
            <wp:docPr id="2" name="Chart 2" descr="Area chart showing the number of oil rigs in the United States from January 2012 to February 2024. The number of oil rigs peaked at 1,510 rigs in 2012, and have declined 63%, as of September 2023. In September 2023, only 557 oil rigs remain in the United States. Lower rig counts make it more difficult for U.S. producers to quickly respond to higher oil prices, limiting supply growth, and strengthening the bull super-cycle.">
              <a:extLst xmlns:a="http://schemas.openxmlformats.org/drawingml/2006/main">
                <a:ext uri="{FF2B5EF4-FFF2-40B4-BE49-F238E27FC236}">
                  <a16:creationId xmlns:a16="http://schemas.microsoft.com/office/drawing/2014/main" id="{2E27A561-16F4-B346-CFFC-82FC628DE5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27CDD7" w14:textId="77777777" w:rsidR="00C42E56" w:rsidRPr="00C42E56" w:rsidRDefault="00C42E56" w:rsidP="00C42E56">
      <w:pPr>
        <w:autoSpaceDE w:val="0"/>
        <w:autoSpaceDN w:val="0"/>
        <w:adjustRightInd w:val="0"/>
        <w:rPr>
          <w:rFonts w:asciiTheme="majorHAnsi" w:hAnsiTheme="majorHAnsi" w:cstheme="majorHAnsi"/>
          <w:sz w:val="14"/>
          <w:szCs w:val="12"/>
          <w:lang w:eastAsia="x-none"/>
        </w:rPr>
      </w:pPr>
      <w:r w:rsidRPr="00C42E56">
        <w:rPr>
          <w:rFonts w:asciiTheme="majorHAnsi" w:hAnsiTheme="majorHAnsi" w:cstheme="majorHAnsi"/>
          <w:sz w:val="14"/>
          <w:szCs w:val="12"/>
          <w:lang w:eastAsia="x-none"/>
        </w:rPr>
        <w:t>Sources: Energy Information Administration, and Wells Fargo Investment Institute. Monthly data from January 1, 2012, to February 29, 2024. Chart shows rig counts from the following regions: Permian, Niobrara, Haynesville, Eagle Ford, Bakken, Appalachia, and Anadarko. The commodities markets are considered speculative, carry substantial risks, and have experienced periods of extreme volatility. Investing in commodities is not appropriate for all investors. The commodities markets are considered speculative, carry substantial risks, and have experienced periods of extreme volatility.</w:t>
      </w:r>
    </w:p>
    <w:p w14:paraId="5C10A146" w14:textId="77777777" w:rsidR="00C42E56" w:rsidRPr="00C42E56" w:rsidRDefault="00C42E56" w:rsidP="00C42E56">
      <w:pPr>
        <w:autoSpaceDE w:val="0"/>
        <w:autoSpaceDN w:val="0"/>
        <w:adjustRightInd w:val="0"/>
        <w:rPr>
          <w:rFonts w:asciiTheme="majorHAnsi" w:hAnsiTheme="majorHAnsi" w:cstheme="majorHAnsi"/>
          <w:sz w:val="14"/>
          <w:szCs w:val="12"/>
          <w:lang w:eastAsia="x-none"/>
        </w:rPr>
      </w:pPr>
      <w:r w:rsidRPr="00C42E56">
        <w:rPr>
          <w:rFonts w:asciiTheme="majorHAnsi" w:hAnsiTheme="majorHAnsi" w:cstheme="majorHAnsi"/>
          <w:sz w:val="14"/>
          <w:szCs w:val="12"/>
          <w:lang w:eastAsia="x-none"/>
        </w:rPr>
        <w:t>Super-cycle = If you look at commodity prices over the very long term (hundreds of years), it becomes evident that they tend to move in overall bull and bear cycles, some lasting decades. These are super-cycles.</w:t>
      </w:r>
    </w:p>
    <w:p w14:paraId="69CF4E3F" w14:textId="77777777" w:rsidR="0022021C" w:rsidRDefault="0022021C" w:rsidP="009D1515">
      <w:pPr>
        <w:autoSpaceDE w:val="0"/>
        <w:autoSpaceDN w:val="0"/>
        <w:adjustRightInd w:val="0"/>
        <w:jc w:val="center"/>
        <w:rPr>
          <w:rFonts w:ascii="Times New Roman" w:hAnsi="Times New Roman" w:cs="Times New Roman"/>
          <w:sz w:val="16"/>
          <w:szCs w:val="14"/>
          <w:lang w:eastAsia="x-none"/>
        </w:rPr>
      </w:pPr>
    </w:p>
    <w:p w14:paraId="3FAEE60D" w14:textId="695E0A5F" w:rsidR="004F7767" w:rsidRPr="00BD306D" w:rsidRDefault="00892B50" w:rsidP="004F7767">
      <w:pPr>
        <w:rPr>
          <w:sz w:val="12"/>
        </w:rPr>
      </w:pPr>
      <w:r>
        <w:rPr>
          <w:rStyle w:val="Hyperlink"/>
          <w:b/>
          <w:bCs/>
          <w:color w:val="5B9BD5"/>
          <w:u w:val="none"/>
        </w:rPr>
        <w:t xml:space="preserve">As the population ages, the health sector is anticipated to drive employment growth in the </w:t>
      </w:r>
      <w:proofErr w:type="gramStart"/>
      <w:r>
        <w:rPr>
          <w:rStyle w:val="Hyperlink"/>
          <w:b/>
          <w:bCs/>
          <w:color w:val="5B9BD5"/>
          <w:u w:val="none"/>
        </w:rPr>
        <w:t>future</w:t>
      </w:r>
      <w:proofErr w:type="gramEnd"/>
    </w:p>
    <w:p w14:paraId="33786B26" w14:textId="14A31483" w:rsidR="00184002" w:rsidRDefault="00892B50" w:rsidP="00184002">
      <w:pPr>
        <w:jc w:val="center"/>
        <w:rPr>
          <w:noProof/>
        </w:rPr>
      </w:pPr>
      <w:r>
        <w:rPr>
          <w:noProof/>
        </w:rPr>
        <w:drawing>
          <wp:inline distT="0" distB="0" distL="0" distR="0" wp14:anchorId="4F569D30" wp14:editId="463BCC85">
            <wp:extent cx="3667125" cy="4278313"/>
            <wp:effectExtent l="0" t="0" r="0" b="8255"/>
            <wp:docPr id="5" name="Picture 5" descr="A blue and white graph with blu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white graph with blue tex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91788" cy="4307086"/>
                    </a:xfrm>
                    <a:prstGeom prst="rect">
                      <a:avLst/>
                    </a:prstGeom>
                  </pic:spPr>
                </pic:pic>
              </a:graphicData>
            </a:graphic>
          </wp:inline>
        </w:drawing>
      </w:r>
    </w:p>
    <w:p w14:paraId="5E0995FE" w14:textId="3A6188AF" w:rsidR="00E01956" w:rsidRPr="00EB7CC8" w:rsidRDefault="00892B50" w:rsidP="00E01956">
      <w:pPr>
        <w:rPr>
          <w:b/>
          <w:bCs/>
          <w:color w:val="5B9BD5"/>
        </w:rPr>
      </w:pPr>
      <w:r>
        <w:rPr>
          <w:b/>
          <w:bCs/>
          <w:color w:val="5B9BD5"/>
        </w:rPr>
        <w:lastRenderedPageBreak/>
        <w:t xml:space="preserve">Homeowners insurance in certain California zip codes is becoming hard to </w:t>
      </w:r>
      <w:proofErr w:type="gramStart"/>
      <w:r>
        <w:rPr>
          <w:b/>
          <w:bCs/>
          <w:color w:val="5B9BD5"/>
        </w:rPr>
        <w:t>obtain</w:t>
      </w:r>
      <w:proofErr w:type="gramEnd"/>
    </w:p>
    <w:p w14:paraId="2065E519" w14:textId="26F14405" w:rsidR="0077193B" w:rsidRPr="009C3292" w:rsidRDefault="00892B50" w:rsidP="009C3292">
      <w:pPr>
        <w:autoSpaceDE w:val="0"/>
        <w:autoSpaceDN w:val="0"/>
        <w:adjustRightInd w:val="0"/>
        <w:jc w:val="center"/>
        <w:rPr>
          <w:rFonts w:ascii="Times New Roman" w:hAnsi="Times New Roman" w:cs="Times New Roman"/>
          <w:sz w:val="16"/>
          <w:szCs w:val="14"/>
          <w:lang w:eastAsia="x-none"/>
        </w:rPr>
      </w:pPr>
      <w:r>
        <w:rPr>
          <w:rFonts w:ascii="Times New Roman" w:hAnsi="Times New Roman" w:cs="Times New Roman"/>
          <w:noProof/>
          <w:sz w:val="16"/>
          <w:szCs w:val="14"/>
          <w:lang w:eastAsia="x-none"/>
        </w:rPr>
        <w:drawing>
          <wp:inline distT="0" distB="0" distL="0" distR="0" wp14:anchorId="10CB3CA6" wp14:editId="2143EF30">
            <wp:extent cx="4238625" cy="4238625"/>
            <wp:effectExtent l="0" t="0" r="9525" b="9525"/>
            <wp:docPr id="4"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graph&#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38625" cy="4238625"/>
                    </a:xfrm>
                    <a:prstGeom prst="rect">
                      <a:avLst/>
                    </a:prstGeom>
                  </pic:spPr>
                </pic:pic>
              </a:graphicData>
            </a:graphic>
          </wp:inline>
        </w:drawing>
      </w:r>
    </w:p>
    <w:p w14:paraId="52C1DD3B" w14:textId="77777777" w:rsidR="00EF145A" w:rsidRDefault="00EF145A" w:rsidP="009C3292">
      <w:pPr>
        <w:autoSpaceDE w:val="0"/>
        <w:autoSpaceDN w:val="0"/>
        <w:adjustRightInd w:val="0"/>
        <w:jc w:val="center"/>
        <w:rPr>
          <w:b/>
          <w:color w:val="5B9BD5" w:themeColor="accent1"/>
        </w:rPr>
      </w:pPr>
    </w:p>
    <w:p w14:paraId="29924A9A" w14:textId="7FDA3173" w:rsidR="002C399F" w:rsidRPr="00EB7CC8" w:rsidRDefault="00BE3334" w:rsidP="002C399F">
      <w:pPr>
        <w:rPr>
          <w:b/>
          <w:bCs/>
          <w:color w:val="5B9BD5"/>
        </w:rPr>
      </w:pPr>
      <w:r>
        <w:rPr>
          <w:b/>
          <w:bCs/>
          <w:color w:val="5B9BD5"/>
        </w:rPr>
        <w:t>About four-in-ten U.S. Tik Tok users say they regularly get news there</w:t>
      </w:r>
    </w:p>
    <w:p w14:paraId="3C5DA6B5" w14:textId="3D86B596" w:rsidR="00335BAA" w:rsidRDefault="00BE3334" w:rsidP="00755CB2">
      <w:pPr>
        <w:autoSpaceDE w:val="0"/>
        <w:autoSpaceDN w:val="0"/>
        <w:adjustRightInd w:val="0"/>
        <w:jc w:val="center"/>
        <w:rPr>
          <w:bCs/>
          <w:sz w:val="14"/>
          <w:szCs w:val="14"/>
        </w:rPr>
      </w:pPr>
      <w:r>
        <w:rPr>
          <w:bCs/>
          <w:noProof/>
          <w:sz w:val="14"/>
          <w:szCs w:val="14"/>
        </w:rPr>
        <w:drawing>
          <wp:inline distT="0" distB="0" distL="0" distR="0" wp14:anchorId="73F11614" wp14:editId="2497304B">
            <wp:extent cx="5943600" cy="3435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943600" cy="3435985"/>
                    </a:xfrm>
                    <a:prstGeom prst="rect">
                      <a:avLst/>
                    </a:prstGeom>
                  </pic:spPr>
                </pic:pic>
              </a:graphicData>
            </a:graphic>
          </wp:inline>
        </w:drawing>
      </w:r>
    </w:p>
    <w:p w14:paraId="0FBF7C70" w14:textId="684C8EF7" w:rsidR="00755CB2" w:rsidRPr="005958C2" w:rsidRDefault="00755CB2" w:rsidP="005958C2">
      <w:pPr>
        <w:autoSpaceDE w:val="0"/>
        <w:autoSpaceDN w:val="0"/>
        <w:adjustRightInd w:val="0"/>
        <w:rPr>
          <w:bCs/>
          <w:sz w:val="14"/>
          <w:szCs w:val="14"/>
        </w:rPr>
        <w:sectPr w:rsidR="00755CB2" w:rsidRPr="005958C2" w:rsidSect="00BF7DD2">
          <w:headerReference w:type="default" r:id="rId19"/>
          <w:headerReference w:type="first" r:id="rId20"/>
          <w:footerReference w:type="first" r:id="rId21"/>
          <w:pgSz w:w="12240" w:h="15840"/>
          <w:pgMar w:top="1440" w:right="1440" w:bottom="1440" w:left="1440" w:header="216" w:footer="432" w:gutter="0"/>
          <w:cols w:space="720"/>
          <w:titlePg/>
          <w:docGrid w:linePitch="360"/>
        </w:sectPr>
      </w:pPr>
    </w:p>
    <w:p w14:paraId="13EA9262" w14:textId="2B3594B8" w:rsidR="005B28AF" w:rsidRDefault="00C82A48" w:rsidP="00040EE5">
      <w:pPr>
        <w:rPr>
          <w:b/>
          <w:bCs/>
          <w:color w:val="5B9BD5"/>
        </w:rPr>
      </w:pPr>
      <w:r>
        <w:rPr>
          <w:b/>
          <w:bCs/>
          <w:color w:val="5B9BD5"/>
        </w:rPr>
        <w:lastRenderedPageBreak/>
        <w:t xml:space="preserve">As a response to unaffordable housing, </w:t>
      </w:r>
      <w:r w:rsidR="00651AA7">
        <w:rPr>
          <w:b/>
          <w:bCs/>
          <w:color w:val="5B9BD5"/>
        </w:rPr>
        <w:t xml:space="preserve">Millennials </w:t>
      </w:r>
      <w:r>
        <w:rPr>
          <w:b/>
          <w:bCs/>
          <w:color w:val="5B9BD5"/>
        </w:rPr>
        <w:t xml:space="preserve">are </w:t>
      </w:r>
      <w:r w:rsidR="00651AA7">
        <w:rPr>
          <w:b/>
          <w:bCs/>
          <w:color w:val="5B9BD5"/>
        </w:rPr>
        <w:t xml:space="preserve">buying homes with </w:t>
      </w:r>
      <w:proofErr w:type="gramStart"/>
      <w:r w:rsidR="00651AA7">
        <w:rPr>
          <w:b/>
          <w:bCs/>
          <w:color w:val="5B9BD5"/>
        </w:rPr>
        <w:t>friends</w:t>
      </w:r>
      <w:proofErr w:type="gramEnd"/>
    </w:p>
    <w:p w14:paraId="28FE7339" w14:textId="51B3CCBD" w:rsidR="004D70CA" w:rsidRDefault="00651AA7" w:rsidP="00932DEE">
      <w:pPr>
        <w:jc w:val="center"/>
        <w:rPr>
          <w:color w:val="1F497D"/>
        </w:rPr>
      </w:pPr>
      <w:r>
        <w:rPr>
          <w:noProof/>
          <w:color w:val="1F497D"/>
        </w:rPr>
        <w:drawing>
          <wp:inline distT="0" distB="0" distL="0" distR="0" wp14:anchorId="79C24FD7" wp14:editId="2F05F44D">
            <wp:extent cx="5875715" cy="5753100"/>
            <wp:effectExtent l="0" t="0" r="0" b="0"/>
            <wp:docPr id="9" name="Picture 9" descr="A graph with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with different colored bars&#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5887508" cy="5764647"/>
                    </a:xfrm>
                    <a:prstGeom prst="rect">
                      <a:avLst/>
                    </a:prstGeom>
                  </pic:spPr>
                </pic:pic>
              </a:graphicData>
            </a:graphic>
          </wp:inline>
        </w:drawing>
      </w:r>
    </w:p>
    <w:p w14:paraId="42ADFFA6" w14:textId="77777777" w:rsidR="00245E7F" w:rsidRDefault="00CC3027" w:rsidP="00156DFC">
      <w:pPr>
        <w:rPr>
          <w:b/>
          <w:bCs/>
          <w:color w:val="5B9BD5"/>
          <w:u w:val="single"/>
        </w:rPr>
      </w:pPr>
      <w:r>
        <w:rPr>
          <w:b/>
          <w:bCs/>
          <w:color w:val="5B9BD5"/>
          <w:u w:val="single"/>
        </w:rPr>
        <w:t>Article</w:t>
      </w:r>
      <w:r w:rsidR="008309B4">
        <w:rPr>
          <w:b/>
          <w:bCs/>
          <w:color w:val="5B9BD5"/>
          <w:u w:val="single"/>
        </w:rPr>
        <w:t>s</w:t>
      </w:r>
      <w:r w:rsidR="00016414">
        <w:rPr>
          <w:b/>
          <w:bCs/>
          <w:color w:val="5B9BD5"/>
          <w:u w:val="single"/>
        </w:rPr>
        <w:t xml:space="preserve"> of the month:</w:t>
      </w:r>
    </w:p>
    <w:p w14:paraId="1160CE98" w14:textId="12B4F1D4" w:rsidR="008C3799" w:rsidRDefault="00016414" w:rsidP="00156DFC">
      <w:pPr>
        <w:rPr>
          <w:b/>
          <w:bCs/>
          <w:color w:val="5B9BD5"/>
          <w:u w:val="single"/>
        </w:rPr>
      </w:pPr>
      <w:r>
        <w:rPr>
          <w:b/>
          <w:bCs/>
          <w:color w:val="5B9BD5"/>
          <w:u w:val="single"/>
        </w:rPr>
        <w:t xml:space="preserve"> </w:t>
      </w:r>
    </w:p>
    <w:p w14:paraId="0A165026" w14:textId="11C2E4B5" w:rsidR="00A11928" w:rsidRDefault="00261B6C" w:rsidP="002F2E59">
      <w:pPr>
        <w:rPr>
          <w:b/>
          <w:bCs/>
        </w:rPr>
      </w:pPr>
      <w:r>
        <w:rPr>
          <w:b/>
          <w:bCs/>
        </w:rPr>
        <w:t xml:space="preserve">Estate plan glossary: 10 estate planning definitions to </w:t>
      </w:r>
      <w:proofErr w:type="gramStart"/>
      <w:r>
        <w:rPr>
          <w:b/>
          <w:bCs/>
        </w:rPr>
        <w:t>know</w:t>
      </w:r>
      <w:proofErr w:type="gramEnd"/>
    </w:p>
    <w:p w14:paraId="150D882A" w14:textId="32896C73" w:rsidR="00571DEB" w:rsidRPr="00DA33C2" w:rsidRDefault="00E939D2" w:rsidP="002F2E59">
      <w:hyperlink r:id="rId23" w:history="1">
        <w:r w:rsidR="004A672D" w:rsidRPr="00261B6C">
          <w:rPr>
            <w:rStyle w:val="Hyperlink"/>
          </w:rPr>
          <w:t>Click Here to Read</w:t>
        </w:r>
      </w:hyperlink>
    </w:p>
    <w:p w14:paraId="72208D63" w14:textId="7C44D2C1" w:rsidR="00DE1075" w:rsidRDefault="00DE1075" w:rsidP="002F2E59"/>
    <w:p w14:paraId="349EF4E5" w14:textId="37EBDEE1" w:rsidR="00B11F42" w:rsidRDefault="00C82A48" w:rsidP="00B11F42">
      <w:pPr>
        <w:rPr>
          <w:rFonts w:asciiTheme="minorHAnsi" w:hAnsiTheme="minorHAnsi" w:cstheme="minorBidi"/>
          <w:b/>
          <w:bCs/>
        </w:rPr>
      </w:pPr>
      <w:r>
        <w:rPr>
          <w:b/>
          <w:bCs/>
        </w:rPr>
        <w:t>Maybe Baby Boomers Won’t Tank the Stock Market by Cashing Out</w:t>
      </w:r>
    </w:p>
    <w:p w14:paraId="73CEA38C" w14:textId="635885EA" w:rsidR="009E6376" w:rsidRPr="00D10418" w:rsidRDefault="00E939D2" w:rsidP="002F2E59">
      <w:hyperlink r:id="rId24" w:history="1">
        <w:r w:rsidR="004A672D" w:rsidRPr="00C82A48">
          <w:rPr>
            <w:rStyle w:val="Hyperlink"/>
          </w:rPr>
          <w:t>Click Here to Read</w:t>
        </w:r>
      </w:hyperlink>
    </w:p>
    <w:p w14:paraId="2B23AD1D" w14:textId="32429CBC" w:rsidR="00245E7F" w:rsidRPr="0023111D" w:rsidRDefault="00245E7F" w:rsidP="002F2E59">
      <w:pPr>
        <w:rPr>
          <w:sz w:val="18"/>
          <w:szCs w:val="18"/>
        </w:rPr>
      </w:pPr>
    </w:p>
    <w:p w14:paraId="4DD50777" w14:textId="00E98554" w:rsidR="00280A08" w:rsidRPr="0023111D" w:rsidRDefault="00280A08" w:rsidP="002F2E59">
      <w:pPr>
        <w:rPr>
          <w:rFonts w:ascii="Times New Roman" w:hAnsi="Times New Roman" w:cs="Times New Roman"/>
          <w:sz w:val="10"/>
          <w:szCs w:val="18"/>
        </w:rPr>
      </w:pPr>
      <w:r w:rsidRPr="0023111D">
        <w:rPr>
          <w:sz w:val="16"/>
          <w:szCs w:val="18"/>
          <w:lang w:val="en"/>
        </w:rPr>
        <w:t>The opinions expressed here reflect the judgment of the author as of the date of the report and are subject to change without notice. The material has been prepared or is distributed solely for information purposes.</w:t>
      </w:r>
      <w:r w:rsidR="00834535" w:rsidRPr="0023111D">
        <w:rPr>
          <w:sz w:val="16"/>
          <w:szCs w:val="18"/>
          <w:lang w:val="en"/>
        </w:rPr>
        <w:t xml:space="preserve"> Please note that we are not responsible for the information contained on the listed web site(s). The site(s) is/are provided to you for informational purposes only. </w:t>
      </w:r>
      <w:bookmarkEnd w:id="0"/>
    </w:p>
    <w:sectPr w:rsidR="00280A08" w:rsidRPr="0023111D" w:rsidSect="00BF7DD2">
      <w:headerReference w:type="first" r:id="rId25"/>
      <w:footerReference w:type="first" r:id="rId26"/>
      <w:pgSz w:w="12240" w:h="15840"/>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6DEE0" w14:textId="77777777" w:rsidR="00E55185" w:rsidRDefault="00E55185" w:rsidP="00CC380D">
      <w:r>
        <w:separator/>
      </w:r>
    </w:p>
  </w:endnote>
  <w:endnote w:type="continuationSeparator" w:id="0">
    <w:p w14:paraId="152AF0F6" w14:textId="77777777" w:rsidR="00E55185" w:rsidRDefault="00E55185" w:rsidP="00CC3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ells Fargo Sans">
    <w:panose1 w:val="020B0503020203020204"/>
    <w:charset w:val="00"/>
    <w:family w:val="swiss"/>
    <w:pitch w:val="variable"/>
    <w:sig w:usb0="A000006F" w:usb1="4000004B" w:usb2="00000000" w:usb3="00000000" w:csb0="0000001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827"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27"/>
    </w:tblGrid>
    <w:tr w:rsidR="00155462" w:rsidRPr="00E129AA" w14:paraId="07503306" w14:textId="77777777" w:rsidTr="00913959">
      <w:trPr>
        <w:trHeight w:val="462"/>
      </w:trPr>
      <w:tc>
        <w:tcPr>
          <w:tcW w:w="9827" w:type="dxa"/>
          <w:vAlign w:val="center"/>
        </w:tcPr>
        <w:p w14:paraId="6035B43B" w14:textId="77777777" w:rsidR="00155462" w:rsidRPr="00913959" w:rsidRDefault="00155462" w:rsidP="00155462">
          <w:pPr>
            <w:rPr>
              <w:rFonts w:ascii="Wells Fargo Sans" w:hAnsi="Wells Fargo Sans"/>
              <w:b/>
              <w:szCs w:val="20"/>
            </w:rPr>
          </w:pPr>
          <w:r w:rsidRPr="00913959">
            <w:rPr>
              <w:rFonts w:ascii="Wells Fargo Sans" w:hAnsi="Wells Fargo Sans"/>
              <w:b/>
              <w:szCs w:val="20"/>
            </w:rPr>
            <w:t>Investment and Insurance Products: NOT FDIC Insured / NO Bank Guarantee / MAY Lose Value</w:t>
          </w:r>
        </w:p>
      </w:tc>
    </w:tr>
  </w:tbl>
  <w:p w14:paraId="2AC21CC3" w14:textId="77777777" w:rsidR="00862684" w:rsidRDefault="008626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B676" w14:textId="77777777" w:rsidR="002521EB" w:rsidRDefault="002521EB" w:rsidP="000829E7">
    <w:pPr>
      <w:pStyle w:val="Header"/>
      <w:jc w:val="right"/>
    </w:pPr>
    <w:r>
      <w:t xml:space="preserve">                                                                                      </w:t>
    </w:r>
  </w:p>
  <w:p w14:paraId="7472D469" w14:textId="77777777" w:rsidR="002521EB" w:rsidRPr="003442B5" w:rsidRDefault="002521EB" w:rsidP="00DD2D3A">
    <w:pPr>
      <w:autoSpaceDE w:val="0"/>
      <w:autoSpaceDN w:val="0"/>
      <w:adjustRightInd w:val="0"/>
      <w:jc w:val="both"/>
      <w:rPr>
        <w:rFonts w:ascii="Times New Roman" w:hAnsi="Times New Roman" w:cs="Times New Roman"/>
        <w:sz w:val="16"/>
        <w:szCs w:val="14"/>
        <w:lang w:eastAsia="x-none"/>
      </w:rPr>
    </w:pPr>
    <w:bookmarkStart w:id="1" w:name="_Hlk136406650"/>
    <w:r w:rsidRPr="00935F4D">
      <w:rPr>
        <w:rFonts w:ascii="Times New Roman" w:hAnsi="Times New Roman" w:cs="Times New Roman"/>
        <w:sz w:val="16"/>
        <w:szCs w:val="14"/>
        <w:lang w:eastAsia="x-none"/>
      </w:rPr>
      <w:t xml:space="preserve">Wells Fargo Investment Institute, Inc. is a registered investment adviser and </w:t>
    </w:r>
    <w:proofErr w:type="gramStart"/>
    <w:r w:rsidRPr="00935F4D">
      <w:rPr>
        <w:rFonts w:ascii="Times New Roman" w:hAnsi="Times New Roman" w:cs="Times New Roman"/>
        <w:sz w:val="16"/>
        <w:szCs w:val="14"/>
        <w:lang w:eastAsia="x-none"/>
      </w:rPr>
      <w:t>wholly-owned</w:t>
    </w:r>
    <w:proofErr w:type="gramEnd"/>
    <w:r w:rsidRPr="00935F4D">
      <w:rPr>
        <w:rFonts w:ascii="Times New Roman" w:hAnsi="Times New Roman" w:cs="Times New Roman"/>
        <w:sz w:val="16"/>
        <w:szCs w:val="14"/>
        <w:lang w:eastAsia="x-none"/>
      </w:rPr>
      <w:t xml:space="preserve"> subsidiary of Wells Fargo Bank, N.A., a bank affiliate of Wells Fargo &amp; Company.</w:t>
    </w:r>
  </w:p>
  <w:p w14:paraId="744BB09C" w14:textId="3537AE47" w:rsidR="002521EB" w:rsidRPr="004F6B51" w:rsidRDefault="002521EB" w:rsidP="00DD2D3A">
    <w:pPr>
      <w:jc w:val="both"/>
      <w:rPr>
        <w:rFonts w:ascii="Times New Roman" w:hAnsi="Times New Roman" w:cs="Times New Roman"/>
        <w:sz w:val="28"/>
      </w:rPr>
    </w:pPr>
    <w:r w:rsidRPr="004F6B51">
      <w:rPr>
        <w:rFonts w:ascii="Times New Roman" w:hAnsi="Times New Roman" w:cs="Times New Roman"/>
        <w:sz w:val="16"/>
        <w:szCs w:val="14"/>
        <w:lang w:eastAsia="x-none"/>
      </w:rPr>
      <w:t xml:space="preserve">Wells Fargo Advisors is a trade name used by Wells Fargo Clearing Services, LLC, Member SIPC, a registered broker-dealer and non-bank affiliate of Wells Fargo &amp; Company. </w:t>
    </w:r>
    <w:r w:rsidRPr="004F6B51">
      <w:rPr>
        <w:rFonts w:ascii="Times New Roman" w:hAnsi="Times New Roman" w:cs="Times New Roman"/>
        <w:sz w:val="16"/>
        <w:szCs w:val="14"/>
        <w:lang w:val="x-none" w:eastAsia="x-none"/>
      </w:rPr>
      <w:t>©</w:t>
    </w:r>
    <w:r w:rsidRPr="004F6B51">
      <w:rPr>
        <w:rFonts w:ascii="Times New Roman" w:hAnsi="Times New Roman" w:cs="Times New Roman"/>
        <w:sz w:val="16"/>
        <w:szCs w:val="14"/>
        <w:lang w:eastAsia="x-none"/>
      </w:rPr>
      <w:t>20</w:t>
    </w:r>
    <w:r w:rsidR="00C46BC4">
      <w:rPr>
        <w:rFonts w:ascii="Times New Roman" w:hAnsi="Times New Roman" w:cs="Times New Roman"/>
        <w:sz w:val="16"/>
        <w:szCs w:val="14"/>
        <w:lang w:eastAsia="x-none"/>
      </w:rPr>
      <w:t>24</w:t>
    </w:r>
    <w:r w:rsidRPr="004F6B51">
      <w:rPr>
        <w:rFonts w:ascii="Times New Roman" w:hAnsi="Times New Roman" w:cs="Times New Roman"/>
        <w:sz w:val="16"/>
        <w:szCs w:val="14"/>
        <w:lang w:eastAsia="x-none"/>
      </w:rPr>
      <w:t xml:space="preserve"> </w:t>
    </w:r>
    <w:r w:rsidRPr="004F6B51">
      <w:rPr>
        <w:rFonts w:ascii="Times New Roman" w:hAnsi="Times New Roman" w:cs="Times New Roman"/>
        <w:sz w:val="16"/>
        <w:szCs w:val="14"/>
        <w:lang w:val="x-none" w:eastAsia="x-none"/>
      </w:rPr>
      <w:t>Wells Fargo Clearing Services, LLC.</w:t>
    </w:r>
    <w:r w:rsidRPr="004F6B51">
      <w:rPr>
        <w:rFonts w:ascii="Times New Roman" w:hAnsi="Times New Roman" w:cs="Times New Roman"/>
        <w:sz w:val="16"/>
        <w:szCs w:val="14"/>
        <w:lang w:eastAsia="x-none"/>
      </w:rPr>
      <w:t xml:space="preserve"> </w:t>
    </w:r>
    <w:r w:rsidR="001239FF" w:rsidRPr="00350260">
      <w:rPr>
        <w:rFonts w:ascii="Times New Roman" w:hAnsi="Times New Roman" w:cs="Times New Roman"/>
        <w:sz w:val="16"/>
        <w:szCs w:val="14"/>
        <w:lang w:val="x-none" w:eastAsia="x-none"/>
      </w:rPr>
      <w:t>PM</w:t>
    </w:r>
    <w:r w:rsidR="001832E5" w:rsidRPr="001832E5">
      <w:rPr>
        <w:rFonts w:ascii="Times New Roman" w:hAnsi="Times New Roman" w:cs="Times New Roman"/>
        <w:sz w:val="16"/>
        <w:szCs w:val="14"/>
        <w:lang w:val="x-none" w:eastAsia="x-none"/>
      </w:rPr>
      <w:t>-10242025-6577140.1.1</w:t>
    </w:r>
  </w:p>
  <w:bookmarkEnd w:id="1"/>
  <w:p w14:paraId="16C3433D" w14:textId="77777777" w:rsidR="002521EB" w:rsidRDefault="002521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2E32C" w14:textId="77777777" w:rsidR="00E55185" w:rsidRDefault="00E55185" w:rsidP="00CC380D">
      <w:r>
        <w:separator/>
      </w:r>
    </w:p>
  </w:footnote>
  <w:footnote w:type="continuationSeparator" w:id="0">
    <w:p w14:paraId="6B3FB624" w14:textId="77777777" w:rsidR="00E55185" w:rsidRDefault="00E55185" w:rsidP="00CC38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17598" w14:textId="73E6D434" w:rsidR="00CC380D" w:rsidRDefault="00AB4B1D" w:rsidP="00AB4B1D">
    <w:pPr>
      <w:pStyle w:val="Header"/>
    </w:pPr>
    <w:r>
      <w:tab/>
    </w:r>
    <w:r>
      <w:tab/>
    </w:r>
    <w:r w:rsidR="00AD7E1F">
      <w:rPr>
        <w:noProof/>
      </w:rPr>
      <w:drawing>
        <wp:inline distT="0" distB="0" distL="0" distR="0" wp14:anchorId="7967D1B6" wp14:editId="4431E9DC">
          <wp:extent cx="1676400" cy="671728"/>
          <wp:effectExtent l="0" t="0" r="0" b="0"/>
          <wp:docPr id="11" name="Picture 11" descr="A close-up of a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
                  <pic:cNvPicPr/>
                </pic:nvPicPr>
                <pic:blipFill>
                  <a:blip r:embed="rId1">
                    <a:extLst>
                      <a:ext uri="{28A0092B-C50C-407E-A947-70E740481C1C}">
                        <a14:useLocalDpi xmlns:a14="http://schemas.microsoft.com/office/drawing/2010/main" val="0"/>
                      </a:ext>
                    </a:extLst>
                  </a:blip>
                  <a:stretch>
                    <a:fillRect/>
                  </a:stretch>
                </pic:blipFill>
                <pic:spPr>
                  <a:xfrm>
                    <a:off x="0" y="0"/>
                    <a:ext cx="1692922" cy="678348"/>
                  </a:xfrm>
                  <a:prstGeom prst="rect">
                    <a:avLst/>
                  </a:prstGeom>
                </pic:spPr>
              </pic:pic>
            </a:graphicData>
          </a:graphic>
        </wp:inline>
      </w:drawing>
    </w:r>
    <w:r w:rsidR="00CC380D">
      <w:t xml:space="preserve">    </w:t>
    </w:r>
    <w:r w:rsidR="00093A54">
      <w:t xml:space="preserve">                                                                                </w:t>
    </w:r>
    <w:r w:rsidR="00CC380D">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84F5" w14:textId="1FDADE81" w:rsidR="000829E7" w:rsidRDefault="00BF7DD2" w:rsidP="00BF7DD2">
    <w:pPr>
      <w:pStyle w:val="Header"/>
    </w:pPr>
    <w:r>
      <w:rPr>
        <w:noProof/>
      </w:rPr>
      <w:drawing>
        <wp:inline distT="0" distB="0" distL="0" distR="0" wp14:anchorId="321E22A4" wp14:editId="0479D7F6">
          <wp:extent cx="1508458" cy="804672"/>
          <wp:effectExtent l="0" t="0" r="0" b="0"/>
          <wp:docPr id="27" name="Picture 27" descr="A black and green rectangle with a black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ack and green rectangle with a black background&#10;"/>
                  <pic:cNvPicPr/>
                </pic:nvPicPr>
                <pic:blipFill>
                  <a:blip r:embed="rId1">
                    <a:extLst>
                      <a:ext uri="{28A0092B-C50C-407E-A947-70E740481C1C}">
                        <a14:useLocalDpi xmlns:a14="http://schemas.microsoft.com/office/drawing/2010/main" val="0"/>
                      </a:ext>
                    </a:extLst>
                  </a:blip>
                  <a:stretch>
                    <a:fillRect/>
                  </a:stretch>
                </pic:blipFill>
                <pic:spPr>
                  <a:xfrm>
                    <a:off x="0" y="0"/>
                    <a:ext cx="1508458" cy="804672"/>
                  </a:xfrm>
                  <a:prstGeom prst="rect">
                    <a:avLst/>
                  </a:prstGeom>
                </pic:spPr>
              </pic:pic>
            </a:graphicData>
          </a:graphic>
        </wp:inline>
      </w:drawing>
    </w:r>
    <w:r>
      <w:t xml:space="preserve">                                                                                       </w:t>
    </w:r>
    <w:r w:rsidR="00AD7E1F">
      <w:rPr>
        <w:noProof/>
      </w:rPr>
      <w:drawing>
        <wp:inline distT="0" distB="0" distL="0" distR="0" wp14:anchorId="6A709BD9" wp14:editId="3951FF5D">
          <wp:extent cx="1676400" cy="671728"/>
          <wp:effectExtent l="0" t="0" r="0" b="0"/>
          <wp:docPr id="7" name="Picture 7" descr="A close-up of a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
                  <pic:cNvPicPr/>
                </pic:nvPicPr>
                <pic:blipFill>
                  <a:blip r:embed="rId2">
                    <a:extLst>
                      <a:ext uri="{28A0092B-C50C-407E-A947-70E740481C1C}">
                        <a14:useLocalDpi xmlns:a14="http://schemas.microsoft.com/office/drawing/2010/main" val="0"/>
                      </a:ext>
                    </a:extLst>
                  </a:blip>
                  <a:stretch>
                    <a:fillRect/>
                  </a:stretch>
                </pic:blipFill>
                <pic:spPr>
                  <a:xfrm>
                    <a:off x="0" y="0"/>
                    <a:ext cx="1692922" cy="6783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E0C0" w14:textId="4B226B92" w:rsidR="00CF63AD" w:rsidRDefault="00CF63AD" w:rsidP="00E47D23">
    <w:pPr>
      <w:pStyle w:val="Header"/>
      <w:jc w:val="right"/>
    </w:pPr>
    <w:r>
      <w:t xml:space="preserve">                                                                                       </w:t>
    </w:r>
    <w:r w:rsidR="00BF7DD2">
      <w:rPr>
        <w:noProof/>
      </w:rPr>
      <w:drawing>
        <wp:inline distT="0" distB="0" distL="0" distR="0" wp14:anchorId="028592FD" wp14:editId="073456BF">
          <wp:extent cx="1676400" cy="671728"/>
          <wp:effectExtent l="0" t="0" r="0" b="0"/>
          <wp:docPr id="28" name="Picture 28" descr="A close-up of a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logo&#10;&#10;"/>
                  <pic:cNvPicPr/>
                </pic:nvPicPr>
                <pic:blipFill>
                  <a:blip r:embed="rId1">
                    <a:extLst>
                      <a:ext uri="{28A0092B-C50C-407E-A947-70E740481C1C}">
                        <a14:useLocalDpi xmlns:a14="http://schemas.microsoft.com/office/drawing/2010/main" val="0"/>
                      </a:ext>
                    </a:extLst>
                  </a:blip>
                  <a:stretch>
                    <a:fillRect/>
                  </a:stretch>
                </pic:blipFill>
                <pic:spPr>
                  <a:xfrm>
                    <a:off x="0" y="0"/>
                    <a:ext cx="1692922" cy="6783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99053C"/>
    <w:multiLevelType w:val="hybridMultilevel"/>
    <w:tmpl w:val="EBE41922"/>
    <w:lvl w:ilvl="0" w:tplc="8F760E54">
      <w:start w:val="1"/>
      <w:numFmt w:val="bullet"/>
      <w:lvlText w:val="•"/>
      <w:lvlJc w:val="left"/>
      <w:pPr>
        <w:tabs>
          <w:tab w:val="num" w:pos="720"/>
        </w:tabs>
        <w:ind w:left="720" w:hanging="360"/>
      </w:pPr>
      <w:rPr>
        <w:rFonts w:ascii="Arial" w:hAnsi="Arial" w:hint="default"/>
      </w:rPr>
    </w:lvl>
    <w:lvl w:ilvl="1" w:tplc="24785B42" w:tentative="1">
      <w:start w:val="1"/>
      <w:numFmt w:val="bullet"/>
      <w:lvlText w:val="•"/>
      <w:lvlJc w:val="left"/>
      <w:pPr>
        <w:tabs>
          <w:tab w:val="num" w:pos="1440"/>
        </w:tabs>
        <w:ind w:left="1440" w:hanging="360"/>
      </w:pPr>
      <w:rPr>
        <w:rFonts w:ascii="Arial" w:hAnsi="Arial" w:hint="default"/>
      </w:rPr>
    </w:lvl>
    <w:lvl w:ilvl="2" w:tplc="4C9EA15A" w:tentative="1">
      <w:start w:val="1"/>
      <w:numFmt w:val="bullet"/>
      <w:lvlText w:val="•"/>
      <w:lvlJc w:val="left"/>
      <w:pPr>
        <w:tabs>
          <w:tab w:val="num" w:pos="2160"/>
        </w:tabs>
        <w:ind w:left="2160" w:hanging="360"/>
      </w:pPr>
      <w:rPr>
        <w:rFonts w:ascii="Arial" w:hAnsi="Arial" w:hint="default"/>
      </w:rPr>
    </w:lvl>
    <w:lvl w:ilvl="3" w:tplc="6D1064A0" w:tentative="1">
      <w:start w:val="1"/>
      <w:numFmt w:val="bullet"/>
      <w:lvlText w:val="•"/>
      <w:lvlJc w:val="left"/>
      <w:pPr>
        <w:tabs>
          <w:tab w:val="num" w:pos="2880"/>
        </w:tabs>
        <w:ind w:left="2880" w:hanging="360"/>
      </w:pPr>
      <w:rPr>
        <w:rFonts w:ascii="Arial" w:hAnsi="Arial" w:hint="default"/>
      </w:rPr>
    </w:lvl>
    <w:lvl w:ilvl="4" w:tplc="AD366CB8" w:tentative="1">
      <w:start w:val="1"/>
      <w:numFmt w:val="bullet"/>
      <w:lvlText w:val="•"/>
      <w:lvlJc w:val="left"/>
      <w:pPr>
        <w:tabs>
          <w:tab w:val="num" w:pos="3600"/>
        </w:tabs>
        <w:ind w:left="3600" w:hanging="360"/>
      </w:pPr>
      <w:rPr>
        <w:rFonts w:ascii="Arial" w:hAnsi="Arial" w:hint="default"/>
      </w:rPr>
    </w:lvl>
    <w:lvl w:ilvl="5" w:tplc="28C0AB4E" w:tentative="1">
      <w:start w:val="1"/>
      <w:numFmt w:val="bullet"/>
      <w:lvlText w:val="•"/>
      <w:lvlJc w:val="left"/>
      <w:pPr>
        <w:tabs>
          <w:tab w:val="num" w:pos="4320"/>
        </w:tabs>
        <w:ind w:left="4320" w:hanging="360"/>
      </w:pPr>
      <w:rPr>
        <w:rFonts w:ascii="Arial" w:hAnsi="Arial" w:hint="default"/>
      </w:rPr>
    </w:lvl>
    <w:lvl w:ilvl="6" w:tplc="6478B1B4" w:tentative="1">
      <w:start w:val="1"/>
      <w:numFmt w:val="bullet"/>
      <w:lvlText w:val="•"/>
      <w:lvlJc w:val="left"/>
      <w:pPr>
        <w:tabs>
          <w:tab w:val="num" w:pos="5040"/>
        </w:tabs>
        <w:ind w:left="5040" w:hanging="360"/>
      </w:pPr>
      <w:rPr>
        <w:rFonts w:ascii="Arial" w:hAnsi="Arial" w:hint="default"/>
      </w:rPr>
    </w:lvl>
    <w:lvl w:ilvl="7" w:tplc="D2162E58" w:tentative="1">
      <w:start w:val="1"/>
      <w:numFmt w:val="bullet"/>
      <w:lvlText w:val="•"/>
      <w:lvlJc w:val="left"/>
      <w:pPr>
        <w:tabs>
          <w:tab w:val="num" w:pos="5760"/>
        </w:tabs>
        <w:ind w:left="5760" w:hanging="360"/>
      </w:pPr>
      <w:rPr>
        <w:rFonts w:ascii="Arial" w:hAnsi="Arial" w:hint="default"/>
      </w:rPr>
    </w:lvl>
    <w:lvl w:ilvl="8" w:tplc="4DC63B2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AA30696"/>
    <w:multiLevelType w:val="hybridMultilevel"/>
    <w:tmpl w:val="AF641706"/>
    <w:lvl w:ilvl="0" w:tplc="9378FD14">
      <w:start w:val="1"/>
      <w:numFmt w:val="bullet"/>
      <w:lvlText w:val="•"/>
      <w:lvlJc w:val="left"/>
      <w:pPr>
        <w:tabs>
          <w:tab w:val="num" w:pos="720"/>
        </w:tabs>
        <w:ind w:left="720" w:hanging="360"/>
      </w:pPr>
      <w:rPr>
        <w:rFonts w:ascii="Arial" w:hAnsi="Arial" w:hint="default"/>
      </w:rPr>
    </w:lvl>
    <w:lvl w:ilvl="1" w:tplc="A1D26262" w:tentative="1">
      <w:start w:val="1"/>
      <w:numFmt w:val="bullet"/>
      <w:lvlText w:val="•"/>
      <w:lvlJc w:val="left"/>
      <w:pPr>
        <w:tabs>
          <w:tab w:val="num" w:pos="1440"/>
        </w:tabs>
        <w:ind w:left="1440" w:hanging="360"/>
      </w:pPr>
      <w:rPr>
        <w:rFonts w:ascii="Arial" w:hAnsi="Arial" w:hint="default"/>
      </w:rPr>
    </w:lvl>
    <w:lvl w:ilvl="2" w:tplc="E1CE283C" w:tentative="1">
      <w:start w:val="1"/>
      <w:numFmt w:val="bullet"/>
      <w:lvlText w:val="•"/>
      <w:lvlJc w:val="left"/>
      <w:pPr>
        <w:tabs>
          <w:tab w:val="num" w:pos="2160"/>
        </w:tabs>
        <w:ind w:left="2160" w:hanging="360"/>
      </w:pPr>
      <w:rPr>
        <w:rFonts w:ascii="Arial" w:hAnsi="Arial" w:hint="default"/>
      </w:rPr>
    </w:lvl>
    <w:lvl w:ilvl="3" w:tplc="06925F26" w:tentative="1">
      <w:start w:val="1"/>
      <w:numFmt w:val="bullet"/>
      <w:lvlText w:val="•"/>
      <w:lvlJc w:val="left"/>
      <w:pPr>
        <w:tabs>
          <w:tab w:val="num" w:pos="2880"/>
        </w:tabs>
        <w:ind w:left="2880" w:hanging="360"/>
      </w:pPr>
      <w:rPr>
        <w:rFonts w:ascii="Arial" w:hAnsi="Arial" w:hint="default"/>
      </w:rPr>
    </w:lvl>
    <w:lvl w:ilvl="4" w:tplc="C81207D4" w:tentative="1">
      <w:start w:val="1"/>
      <w:numFmt w:val="bullet"/>
      <w:lvlText w:val="•"/>
      <w:lvlJc w:val="left"/>
      <w:pPr>
        <w:tabs>
          <w:tab w:val="num" w:pos="3600"/>
        </w:tabs>
        <w:ind w:left="3600" w:hanging="360"/>
      </w:pPr>
      <w:rPr>
        <w:rFonts w:ascii="Arial" w:hAnsi="Arial" w:hint="default"/>
      </w:rPr>
    </w:lvl>
    <w:lvl w:ilvl="5" w:tplc="AE92A6C2" w:tentative="1">
      <w:start w:val="1"/>
      <w:numFmt w:val="bullet"/>
      <w:lvlText w:val="•"/>
      <w:lvlJc w:val="left"/>
      <w:pPr>
        <w:tabs>
          <w:tab w:val="num" w:pos="4320"/>
        </w:tabs>
        <w:ind w:left="4320" w:hanging="360"/>
      </w:pPr>
      <w:rPr>
        <w:rFonts w:ascii="Arial" w:hAnsi="Arial" w:hint="default"/>
      </w:rPr>
    </w:lvl>
    <w:lvl w:ilvl="6" w:tplc="F7DA11DA" w:tentative="1">
      <w:start w:val="1"/>
      <w:numFmt w:val="bullet"/>
      <w:lvlText w:val="•"/>
      <w:lvlJc w:val="left"/>
      <w:pPr>
        <w:tabs>
          <w:tab w:val="num" w:pos="5040"/>
        </w:tabs>
        <w:ind w:left="5040" w:hanging="360"/>
      </w:pPr>
      <w:rPr>
        <w:rFonts w:ascii="Arial" w:hAnsi="Arial" w:hint="default"/>
      </w:rPr>
    </w:lvl>
    <w:lvl w:ilvl="7" w:tplc="1F9C2084" w:tentative="1">
      <w:start w:val="1"/>
      <w:numFmt w:val="bullet"/>
      <w:lvlText w:val="•"/>
      <w:lvlJc w:val="left"/>
      <w:pPr>
        <w:tabs>
          <w:tab w:val="num" w:pos="5760"/>
        </w:tabs>
        <w:ind w:left="5760" w:hanging="360"/>
      </w:pPr>
      <w:rPr>
        <w:rFonts w:ascii="Arial" w:hAnsi="Arial" w:hint="default"/>
      </w:rPr>
    </w:lvl>
    <w:lvl w:ilvl="8" w:tplc="C1CAD592" w:tentative="1">
      <w:start w:val="1"/>
      <w:numFmt w:val="bullet"/>
      <w:lvlText w:val="•"/>
      <w:lvlJc w:val="left"/>
      <w:pPr>
        <w:tabs>
          <w:tab w:val="num" w:pos="6480"/>
        </w:tabs>
        <w:ind w:left="6480" w:hanging="360"/>
      </w:pPr>
      <w:rPr>
        <w:rFonts w:ascii="Arial" w:hAnsi="Arial" w:hint="default"/>
      </w:rPr>
    </w:lvl>
  </w:abstractNum>
  <w:num w:numId="1" w16cid:durableId="86780351">
    <w:abstractNumId w:val="1"/>
  </w:num>
  <w:num w:numId="2" w16cid:durableId="1648782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FB0"/>
    <w:rsid w:val="000039CF"/>
    <w:rsid w:val="00003B85"/>
    <w:rsid w:val="0000448D"/>
    <w:rsid w:val="00004997"/>
    <w:rsid w:val="00005622"/>
    <w:rsid w:val="00007770"/>
    <w:rsid w:val="00012CA5"/>
    <w:rsid w:val="000157FF"/>
    <w:rsid w:val="00016414"/>
    <w:rsid w:val="000215D7"/>
    <w:rsid w:val="000234B5"/>
    <w:rsid w:val="00024DEC"/>
    <w:rsid w:val="0002564D"/>
    <w:rsid w:val="00026A59"/>
    <w:rsid w:val="00027399"/>
    <w:rsid w:val="00027693"/>
    <w:rsid w:val="0003052B"/>
    <w:rsid w:val="000309D0"/>
    <w:rsid w:val="00030CD2"/>
    <w:rsid w:val="0003101F"/>
    <w:rsid w:val="00035B7C"/>
    <w:rsid w:val="000404DF"/>
    <w:rsid w:val="00040EE5"/>
    <w:rsid w:val="0004405F"/>
    <w:rsid w:val="00047E65"/>
    <w:rsid w:val="000514CF"/>
    <w:rsid w:val="00056989"/>
    <w:rsid w:val="00057BEC"/>
    <w:rsid w:val="00057D33"/>
    <w:rsid w:val="00061A71"/>
    <w:rsid w:val="000670B5"/>
    <w:rsid w:val="000706AF"/>
    <w:rsid w:val="0007170F"/>
    <w:rsid w:val="00077E68"/>
    <w:rsid w:val="0008210D"/>
    <w:rsid w:val="000829E7"/>
    <w:rsid w:val="00082BCC"/>
    <w:rsid w:val="0009067A"/>
    <w:rsid w:val="000930FD"/>
    <w:rsid w:val="00093A54"/>
    <w:rsid w:val="0009606E"/>
    <w:rsid w:val="000A0ACD"/>
    <w:rsid w:val="000A4ADC"/>
    <w:rsid w:val="000A5DB1"/>
    <w:rsid w:val="000A75BE"/>
    <w:rsid w:val="000B1427"/>
    <w:rsid w:val="000B3499"/>
    <w:rsid w:val="000C08A9"/>
    <w:rsid w:val="000C1339"/>
    <w:rsid w:val="000C18A0"/>
    <w:rsid w:val="000C2C05"/>
    <w:rsid w:val="000D09FB"/>
    <w:rsid w:val="000D6FBA"/>
    <w:rsid w:val="000E2366"/>
    <w:rsid w:val="000E3103"/>
    <w:rsid w:val="000E5FA3"/>
    <w:rsid w:val="000E6C21"/>
    <w:rsid w:val="000F2EF6"/>
    <w:rsid w:val="000F4E84"/>
    <w:rsid w:val="000F551E"/>
    <w:rsid w:val="000F5F18"/>
    <w:rsid w:val="000F6C21"/>
    <w:rsid w:val="000F75F6"/>
    <w:rsid w:val="000F7804"/>
    <w:rsid w:val="001002FD"/>
    <w:rsid w:val="00100AAD"/>
    <w:rsid w:val="00100C05"/>
    <w:rsid w:val="00102033"/>
    <w:rsid w:val="00107A95"/>
    <w:rsid w:val="00110758"/>
    <w:rsid w:val="00111A95"/>
    <w:rsid w:val="00111BE2"/>
    <w:rsid w:val="00111D32"/>
    <w:rsid w:val="00112ED2"/>
    <w:rsid w:val="001143D1"/>
    <w:rsid w:val="00117D8E"/>
    <w:rsid w:val="00120253"/>
    <w:rsid w:val="0012196B"/>
    <w:rsid w:val="00122FD7"/>
    <w:rsid w:val="001239FF"/>
    <w:rsid w:val="00126572"/>
    <w:rsid w:val="00126990"/>
    <w:rsid w:val="001323F6"/>
    <w:rsid w:val="00135AE3"/>
    <w:rsid w:val="001373A6"/>
    <w:rsid w:val="001378A2"/>
    <w:rsid w:val="00141AE7"/>
    <w:rsid w:val="00142208"/>
    <w:rsid w:val="00147C3E"/>
    <w:rsid w:val="00150609"/>
    <w:rsid w:val="00150708"/>
    <w:rsid w:val="00150C80"/>
    <w:rsid w:val="00153522"/>
    <w:rsid w:val="001538B1"/>
    <w:rsid w:val="00155462"/>
    <w:rsid w:val="001561C0"/>
    <w:rsid w:val="00156DFC"/>
    <w:rsid w:val="001613D3"/>
    <w:rsid w:val="00163ABF"/>
    <w:rsid w:val="00163F3C"/>
    <w:rsid w:val="00174076"/>
    <w:rsid w:val="00174AFE"/>
    <w:rsid w:val="00176391"/>
    <w:rsid w:val="00182103"/>
    <w:rsid w:val="001832E5"/>
    <w:rsid w:val="00184002"/>
    <w:rsid w:val="001844E8"/>
    <w:rsid w:val="001902E8"/>
    <w:rsid w:val="00190FD6"/>
    <w:rsid w:val="00191961"/>
    <w:rsid w:val="001933A8"/>
    <w:rsid w:val="00194794"/>
    <w:rsid w:val="00194A62"/>
    <w:rsid w:val="001951C3"/>
    <w:rsid w:val="00196A65"/>
    <w:rsid w:val="00196C4B"/>
    <w:rsid w:val="001A6D16"/>
    <w:rsid w:val="001B32DA"/>
    <w:rsid w:val="001B7B91"/>
    <w:rsid w:val="001C06C2"/>
    <w:rsid w:val="001C6789"/>
    <w:rsid w:val="001C784F"/>
    <w:rsid w:val="001D1C26"/>
    <w:rsid w:val="001D61D8"/>
    <w:rsid w:val="001D6949"/>
    <w:rsid w:val="001D7416"/>
    <w:rsid w:val="001E142E"/>
    <w:rsid w:val="001E5CD4"/>
    <w:rsid w:val="002006DA"/>
    <w:rsid w:val="0020106F"/>
    <w:rsid w:val="00203549"/>
    <w:rsid w:val="002059AE"/>
    <w:rsid w:val="00207890"/>
    <w:rsid w:val="00214739"/>
    <w:rsid w:val="00217254"/>
    <w:rsid w:val="002178F8"/>
    <w:rsid w:val="0022021C"/>
    <w:rsid w:val="00222CAA"/>
    <w:rsid w:val="0022671E"/>
    <w:rsid w:val="0023111D"/>
    <w:rsid w:val="0023171A"/>
    <w:rsid w:val="00235F74"/>
    <w:rsid w:val="00245E7F"/>
    <w:rsid w:val="00251315"/>
    <w:rsid w:val="002521EB"/>
    <w:rsid w:val="00254EC5"/>
    <w:rsid w:val="002565EE"/>
    <w:rsid w:val="002570AE"/>
    <w:rsid w:val="00261B6C"/>
    <w:rsid w:val="002621BF"/>
    <w:rsid w:val="002627C2"/>
    <w:rsid w:val="00264F3A"/>
    <w:rsid w:val="00267BCB"/>
    <w:rsid w:val="002717C5"/>
    <w:rsid w:val="002744D8"/>
    <w:rsid w:val="00275D83"/>
    <w:rsid w:val="0027799B"/>
    <w:rsid w:val="00280A08"/>
    <w:rsid w:val="00281FD9"/>
    <w:rsid w:val="002A003E"/>
    <w:rsid w:val="002B2449"/>
    <w:rsid w:val="002B2BBC"/>
    <w:rsid w:val="002B5168"/>
    <w:rsid w:val="002B520F"/>
    <w:rsid w:val="002B5D5B"/>
    <w:rsid w:val="002B6A8D"/>
    <w:rsid w:val="002B6ACA"/>
    <w:rsid w:val="002C399F"/>
    <w:rsid w:val="002C512C"/>
    <w:rsid w:val="002C6B56"/>
    <w:rsid w:val="002D58F8"/>
    <w:rsid w:val="002D704F"/>
    <w:rsid w:val="002D7C81"/>
    <w:rsid w:val="002E0709"/>
    <w:rsid w:val="002E115C"/>
    <w:rsid w:val="002F0C04"/>
    <w:rsid w:val="002F2704"/>
    <w:rsid w:val="002F2C3C"/>
    <w:rsid w:val="002F2E59"/>
    <w:rsid w:val="002F2FEC"/>
    <w:rsid w:val="002F5EBD"/>
    <w:rsid w:val="002F6F7C"/>
    <w:rsid w:val="00300A9C"/>
    <w:rsid w:val="003014C9"/>
    <w:rsid w:val="0030219A"/>
    <w:rsid w:val="003066E3"/>
    <w:rsid w:val="00307E6B"/>
    <w:rsid w:val="00317B17"/>
    <w:rsid w:val="00320974"/>
    <w:rsid w:val="00320F65"/>
    <w:rsid w:val="00326D75"/>
    <w:rsid w:val="00327237"/>
    <w:rsid w:val="003352F0"/>
    <w:rsid w:val="00335BAA"/>
    <w:rsid w:val="003402FA"/>
    <w:rsid w:val="00340CE2"/>
    <w:rsid w:val="00342648"/>
    <w:rsid w:val="003442B5"/>
    <w:rsid w:val="00344900"/>
    <w:rsid w:val="00350260"/>
    <w:rsid w:val="00352773"/>
    <w:rsid w:val="0035303A"/>
    <w:rsid w:val="00362FC0"/>
    <w:rsid w:val="00363188"/>
    <w:rsid w:val="003638DD"/>
    <w:rsid w:val="003718C2"/>
    <w:rsid w:val="0037299C"/>
    <w:rsid w:val="00375C73"/>
    <w:rsid w:val="003765AD"/>
    <w:rsid w:val="003803B5"/>
    <w:rsid w:val="003818D4"/>
    <w:rsid w:val="00390887"/>
    <w:rsid w:val="00394975"/>
    <w:rsid w:val="00394B1F"/>
    <w:rsid w:val="00395E91"/>
    <w:rsid w:val="00397ACD"/>
    <w:rsid w:val="003A0519"/>
    <w:rsid w:val="003A2118"/>
    <w:rsid w:val="003A6149"/>
    <w:rsid w:val="003A6D43"/>
    <w:rsid w:val="003B6608"/>
    <w:rsid w:val="003B6EFC"/>
    <w:rsid w:val="003B726B"/>
    <w:rsid w:val="003D1AC0"/>
    <w:rsid w:val="003D3648"/>
    <w:rsid w:val="003D48B8"/>
    <w:rsid w:val="003D5845"/>
    <w:rsid w:val="003D6C74"/>
    <w:rsid w:val="003E347A"/>
    <w:rsid w:val="003E6610"/>
    <w:rsid w:val="003F0423"/>
    <w:rsid w:val="003F3DF1"/>
    <w:rsid w:val="003F5E65"/>
    <w:rsid w:val="00410017"/>
    <w:rsid w:val="00411779"/>
    <w:rsid w:val="0041451C"/>
    <w:rsid w:val="00420E4B"/>
    <w:rsid w:val="0043039A"/>
    <w:rsid w:val="0043196B"/>
    <w:rsid w:val="00431FF6"/>
    <w:rsid w:val="00435168"/>
    <w:rsid w:val="004354FA"/>
    <w:rsid w:val="00437BF8"/>
    <w:rsid w:val="004453AB"/>
    <w:rsid w:val="0044551B"/>
    <w:rsid w:val="004464B0"/>
    <w:rsid w:val="00446823"/>
    <w:rsid w:val="004471AA"/>
    <w:rsid w:val="00451378"/>
    <w:rsid w:val="0045253B"/>
    <w:rsid w:val="00453387"/>
    <w:rsid w:val="004546D8"/>
    <w:rsid w:val="0045559F"/>
    <w:rsid w:val="004578FA"/>
    <w:rsid w:val="00467070"/>
    <w:rsid w:val="00471245"/>
    <w:rsid w:val="004740C5"/>
    <w:rsid w:val="004830AE"/>
    <w:rsid w:val="00486A63"/>
    <w:rsid w:val="00487FBF"/>
    <w:rsid w:val="004A1520"/>
    <w:rsid w:val="004A24DD"/>
    <w:rsid w:val="004A50EE"/>
    <w:rsid w:val="004A59CF"/>
    <w:rsid w:val="004A5BD5"/>
    <w:rsid w:val="004A672D"/>
    <w:rsid w:val="004B02A2"/>
    <w:rsid w:val="004B0FD3"/>
    <w:rsid w:val="004B6DAD"/>
    <w:rsid w:val="004C451F"/>
    <w:rsid w:val="004C5499"/>
    <w:rsid w:val="004C5502"/>
    <w:rsid w:val="004C6B16"/>
    <w:rsid w:val="004C7EE4"/>
    <w:rsid w:val="004D0729"/>
    <w:rsid w:val="004D3298"/>
    <w:rsid w:val="004D5E9C"/>
    <w:rsid w:val="004D70CA"/>
    <w:rsid w:val="004E21D5"/>
    <w:rsid w:val="004E2A9A"/>
    <w:rsid w:val="004E2F99"/>
    <w:rsid w:val="004E3E0A"/>
    <w:rsid w:val="004E47B2"/>
    <w:rsid w:val="004E613D"/>
    <w:rsid w:val="004E7923"/>
    <w:rsid w:val="004F15B0"/>
    <w:rsid w:val="004F1B23"/>
    <w:rsid w:val="004F6B51"/>
    <w:rsid w:val="004F7327"/>
    <w:rsid w:val="004F7767"/>
    <w:rsid w:val="00507E38"/>
    <w:rsid w:val="00511544"/>
    <w:rsid w:val="00524D59"/>
    <w:rsid w:val="00524D6E"/>
    <w:rsid w:val="005323B7"/>
    <w:rsid w:val="00534756"/>
    <w:rsid w:val="00534947"/>
    <w:rsid w:val="00534BBA"/>
    <w:rsid w:val="005415FB"/>
    <w:rsid w:val="0054227B"/>
    <w:rsid w:val="00543E13"/>
    <w:rsid w:val="0054530F"/>
    <w:rsid w:val="00550834"/>
    <w:rsid w:val="00550F97"/>
    <w:rsid w:val="0056180C"/>
    <w:rsid w:val="00563D66"/>
    <w:rsid w:val="00564F93"/>
    <w:rsid w:val="00571DEB"/>
    <w:rsid w:val="0057220C"/>
    <w:rsid w:val="00574855"/>
    <w:rsid w:val="005755D2"/>
    <w:rsid w:val="0057664E"/>
    <w:rsid w:val="00590B70"/>
    <w:rsid w:val="00592E32"/>
    <w:rsid w:val="005934EC"/>
    <w:rsid w:val="005946FD"/>
    <w:rsid w:val="005958C2"/>
    <w:rsid w:val="005A2064"/>
    <w:rsid w:val="005A33DD"/>
    <w:rsid w:val="005A4BE6"/>
    <w:rsid w:val="005A6EDC"/>
    <w:rsid w:val="005B181F"/>
    <w:rsid w:val="005B28AF"/>
    <w:rsid w:val="005B7F2C"/>
    <w:rsid w:val="005C082D"/>
    <w:rsid w:val="005C24A2"/>
    <w:rsid w:val="005C3104"/>
    <w:rsid w:val="005C3215"/>
    <w:rsid w:val="005D06FA"/>
    <w:rsid w:val="005D757E"/>
    <w:rsid w:val="005E3951"/>
    <w:rsid w:val="005F1FCE"/>
    <w:rsid w:val="005F4CBC"/>
    <w:rsid w:val="005F4CEB"/>
    <w:rsid w:val="005F595C"/>
    <w:rsid w:val="005F7F23"/>
    <w:rsid w:val="0060212E"/>
    <w:rsid w:val="00604D84"/>
    <w:rsid w:val="006116F4"/>
    <w:rsid w:val="00613D79"/>
    <w:rsid w:val="00614945"/>
    <w:rsid w:val="00616295"/>
    <w:rsid w:val="00624828"/>
    <w:rsid w:val="00627AEF"/>
    <w:rsid w:val="006313B7"/>
    <w:rsid w:val="006316EC"/>
    <w:rsid w:val="006356B9"/>
    <w:rsid w:val="00635CD6"/>
    <w:rsid w:val="00636560"/>
    <w:rsid w:val="00636EBA"/>
    <w:rsid w:val="00642172"/>
    <w:rsid w:val="00651AA7"/>
    <w:rsid w:val="00654235"/>
    <w:rsid w:val="006622DB"/>
    <w:rsid w:val="006631E0"/>
    <w:rsid w:val="0066413A"/>
    <w:rsid w:val="00664613"/>
    <w:rsid w:val="00666788"/>
    <w:rsid w:val="00670412"/>
    <w:rsid w:val="0067151B"/>
    <w:rsid w:val="006762C4"/>
    <w:rsid w:val="00676B53"/>
    <w:rsid w:val="00681C5E"/>
    <w:rsid w:val="00682119"/>
    <w:rsid w:val="006822A8"/>
    <w:rsid w:val="006830F1"/>
    <w:rsid w:val="00684EFC"/>
    <w:rsid w:val="00684F4A"/>
    <w:rsid w:val="00695F62"/>
    <w:rsid w:val="00696039"/>
    <w:rsid w:val="00697754"/>
    <w:rsid w:val="006A202F"/>
    <w:rsid w:val="006B00DC"/>
    <w:rsid w:val="006B196D"/>
    <w:rsid w:val="006B7EB2"/>
    <w:rsid w:val="006C149E"/>
    <w:rsid w:val="006C1680"/>
    <w:rsid w:val="006C2280"/>
    <w:rsid w:val="006D21FA"/>
    <w:rsid w:val="006D6751"/>
    <w:rsid w:val="006D7556"/>
    <w:rsid w:val="006E350C"/>
    <w:rsid w:val="006E3FE8"/>
    <w:rsid w:val="006E68F7"/>
    <w:rsid w:val="006F66E7"/>
    <w:rsid w:val="006F71DE"/>
    <w:rsid w:val="007020E3"/>
    <w:rsid w:val="00707BAC"/>
    <w:rsid w:val="00720F36"/>
    <w:rsid w:val="007212EB"/>
    <w:rsid w:val="00724529"/>
    <w:rsid w:val="007315AB"/>
    <w:rsid w:val="007322E9"/>
    <w:rsid w:val="00732DD8"/>
    <w:rsid w:val="00740D12"/>
    <w:rsid w:val="007419A4"/>
    <w:rsid w:val="0074245F"/>
    <w:rsid w:val="007514D1"/>
    <w:rsid w:val="00755CB2"/>
    <w:rsid w:val="007649A6"/>
    <w:rsid w:val="00764DCB"/>
    <w:rsid w:val="007712EB"/>
    <w:rsid w:val="0077193B"/>
    <w:rsid w:val="00773EEB"/>
    <w:rsid w:val="007751B6"/>
    <w:rsid w:val="007811C7"/>
    <w:rsid w:val="00784FB0"/>
    <w:rsid w:val="0078773F"/>
    <w:rsid w:val="0079018B"/>
    <w:rsid w:val="00791822"/>
    <w:rsid w:val="00791BAE"/>
    <w:rsid w:val="00792D0D"/>
    <w:rsid w:val="0079340D"/>
    <w:rsid w:val="0079388D"/>
    <w:rsid w:val="00795706"/>
    <w:rsid w:val="00796292"/>
    <w:rsid w:val="007A1F43"/>
    <w:rsid w:val="007A27CD"/>
    <w:rsid w:val="007B0D20"/>
    <w:rsid w:val="007B613D"/>
    <w:rsid w:val="007B7B38"/>
    <w:rsid w:val="007B7F53"/>
    <w:rsid w:val="007C01C6"/>
    <w:rsid w:val="007C14A0"/>
    <w:rsid w:val="007C236C"/>
    <w:rsid w:val="007C37BD"/>
    <w:rsid w:val="007C5E5C"/>
    <w:rsid w:val="007C6F3F"/>
    <w:rsid w:val="007D0ADF"/>
    <w:rsid w:val="007D211A"/>
    <w:rsid w:val="007D224B"/>
    <w:rsid w:val="007D7B84"/>
    <w:rsid w:val="007F37CF"/>
    <w:rsid w:val="007F68C3"/>
    <w:rsid w:val="007F710C"/>
    <w:rsid w:val="0080377C"/>
    <w:rsid w:val="00804BA1"/>
    <w:rsid w:val="00804BB5"/>
    <w:rsid w:val="00806D54"/>
    <w:rsid w:val="008073B1"/>
    <w:rsid w:val="008122E8"/>
    <w:rsid w:val="0082046E"/>
    <w:rsid w:val="00822DC3"/>
    <w:rsid w:val="00827D65"/>
    <w:rsid w:val="008309B4"/>
    <w:rsid w:val="00831738"/>
    <w:rsid w:val="008341BA"/>
    <w:rsid w:val="00834535"/>
    <w:rsid w:val="008376EF"/>
    <w:rsid w:val="00845D78"/>
    <w:rsid w:val="00847642"/>
    <w:rsid w:val="00850926"/>
    <w:rsid w:val="00853337"/>
    <w:rsid w:val="0085391A"/>
    <w:rsid w:val="00853B28"/>
    <w:rsid w:val="00855298"/>
    <w:rsid w:val="00855FCA"/>
    <w:rsid w:val="008571FE"/>
    <w:rsid w:val="00862684"/>
    <w:rsid w:val="00862FF7"/>
    <w:rsid w:val="0086662B"/>
    <w:rsid w:val="00874D85"/>
    <w:rsid w:val="00886A7A"/>
    <w:rsid w:val="00892B50"/>
    <w:rsid w:val="00892C6B"/>
    <w:rsid w:val="00896438"/>
    <w:rsid w:val="008A2D04"/>
    <w:rsid w:val="008A4044"/>
    <w:rsid w:val="008B33E3"/>
    <w:rsid w:val="008B3536"/>
    <w:rsid w:val="008B6154"/>
    <w:rsid w:val="008B6B85"/>
    <w:rsid w:val="008C27BE"/>
    <w:rsid w:val="008C3799"/>
    <w:rsid w:val="008C6326"/>
    <w:rsid w:val="008C68AE"/>
    <w:rsid w:val="008D27A2"/>
    <w:rsid w:val="008D36AE"/>
    <w:rsid w:val="008D5DE3"/>
    <w:rsid w:val="008E16B4"/>
    <w:rsid w:val="008E2F8B"/>
    <w:rsid w:val="008E34D2"/>
    <w:rsid w:val="008E7A24"/>
    <w:rsid w:val="008F09F5"/>
    <w:rsid w:val="008F305D"/>
    <w:rsid w:val="008F41D1"/>
    <w:rsid w:val="008F5E8E"/>
    <w:rsid w:val="008F63CF"/>
    <w:rsid w:val="009116A1"/>
    <w:rsid w:val="009131C3"/>
    <w:rsid w:val="00913959"/>
    <w:rsid w:val="00914F74"/>
    <w:rsid w:val="009206C2"/>
    <w:rsid w:val="009229BD"/>
    <w:rsid w:val="00924922"/>
    <w:rsid w:val="00930F11"/>
    <w:rsid w:val="00932DEE"/>
    <w:rsid w:val="00933778"/>
    <w:rsid w:val="00935F4D"/>
    <w:rsid w:val="00936F63"/>
    <w:rsid w:val="009413EF"/>
    <w:rsid w:val="0094748F"/>
    <w:rsid w:val="00952E3C"/>
    <w:rsid w:val="00970B72"/>
    <w:rsid w:val="00970DF6"/>
    <w:rsid w:val="00971206"/>
    <w:rsid w:val="00971F0B"/>
    <w:rsid w:val="00972C09"/>
    <w:rsid w:val="00975215"/>
    <w:rsid w:val="009763FB"/>
    <w:rsid w:val="00977B42"/>
    <w:rsid w:val="00977DBE"/>
    <w:rsid w:val="00986D46"/>
    <w:rsid w:val="00987833"/>
    <w:rsid w:val="00991485"/>
    <w:rsid w:val="0099203B"/>
    <w:rsid w:val="00992297"/>
    <w:rsid w:val="00993F56"/>
    <w:rsid w:val="0099596E"/>
    <w:rsid w:val="009A20E4"/>
    <w:rsid w:val="009A3346"/>
    <w:rsid w:val="009A422E"/>
    <w:rsid w:val="009A4A04"/>
    <w:rsid w:val="009A6F69"/>
    <w:rsid w:val="009B7E15"/>
    <w:rsid w:val="009C0E79"/>
    <w:rsid w:val="009C1994"/>
    <w:rsid w:val="009C3106"/>
    <w:rsid w:val="009C3292"/>
    <w:rsid w:val="009C410C"/>
    <w:rsid w:val="009C4A43"/>
    <w:rsid w:val="009C7867"/>
    <w:rsid w:val="009C7C1E"/>
    <w:rsid w:val="009D1515"/>
    <w:rsid w:val="009D19A1"/>
    <w:rsid w:val="009D35C3"/>
    <w:rsid w:val="009D667F"/>
    <w:rsid w:val="009E0B56"/>
    <w:rsid w:val="009E3AA0"/>
    <w:rsid w:val="009E4176"/>
    <w:rsid w:val="009E48A2"/>
    <w:rsid w:val="009E6376"/>
    <w:rsid w:val="009E6A8E"/>
    <w:rsid w:val="009F3621"/>
    <w:rsid w:val="009F59EF"/>
    <w:rsid w:val="009F6A32"/>
    <w:rsid w:val="00A03C73"/>
    <w:rsid w:val="00A055A9"/>
    <w:rsid w:val="00A069E5"/>
    <w:rsid w:val="00A11928"/>
    <w:rsid w:val="00A13936"/>
    <w:rsid w:val="00A15416"/>
    <w:rsid w:val="00A254B1"/>
    <w:rsid w:val="00A277B9"/>
    <w:rsid w:val="00A27DBB"/>
    <w:rsid w:val="00A343F2"/>
    <w:rsid w:val="00A357C8"/>
    <w:rsid w:val="00A450F3"/>
    <w:rsid w:val="00A47853"/>
    <w:rsid w:val="00A478A8"/>
    <w:rsid w:val="00A55527"/>
    <w:rsid w:val="00A703EA"/>
    <w:rsid w:val="00A71F72"/>
    <w:rsid w:val="00A769BD"/>
    <w:rsid w:val="00A77A15"/>
    <w:rsid w:val="00A82B45"/>
    <w:rsid w:val="00A85D60"/>
    <w:rsid w:val="00A9156A"/>
    <w:rsid w:val="00A915A4"/>
    <w:rsid w:val="00A91A06"/>
    <w:rsid w:val="00A94749"/>
    <w:rsid w:val="00A94B31"/>
    <w:rsid w:val="00A96984"/>
    <w:rsid w:val="00A97A39"/>
    <w:rsid w:val="00AA4652"/>
    <w:rsid w:val="00AB3181"/>
    <w:rsid w:val="00AB4B1D"/>
    <w:rsid w:val="00AB68E8"/>
    <w:rsid w:val="00AC1AD4"/>
    <w:rsid w:val="00AC4B3F"/>
    <w:rsid w:val="00AD2765"/>
    <w:rsid w:val="00AD7E1F"/>
    <w:rsid w:val="00AE1585"/>
    <w:rsid w:val="00AE2AF8"/>
    <w:rsid w:val="00AE3F88"/>
    <w:rsid w:val="00AF2BD6"/>
    <w:rsid w:val="00AF2E95"/>
    <w:rsid w:val="00AF7723"/>
    <w:rsid w:val="00B00685"/>
    <w:rsid w:val="00B01C8D"/>
    <w:rsid w:val="00B01EED"/>
    <w:rsid w:val="00B02E48"/>
    <w:rsid w:val="00B04FBF"/>
    <w:rsid w:val="00B05476"/>
    <w:rsid w:val="00B079D4"/>
    <w:rsid w:val="00B10BC9"/>
    <w:rsid w:val="00B1107C"/>
    <w:rsid w:val="00B11F42"/>
    <w:rsid w:val="00B234F8"/>
    <w:rsid w:val="00B34384"/>
    <w:rsid w:val="00B3738D"/>
    <w:rsid w:val="00B4333F"/>
    <w:rsid w:val="00B435DA"/>
    <w:rsid w:val="00B43FDB"/>
    <w:rsid w:val="00B46243"/>
    <w:rsid w:val="00B50DAA"/>
    <w:rsid w:val="00B5189E"/>
    <w:rsid w:val="00B52D95"/>
    <w:rsid w:val="00B66A75"/>
    <w:rsid w:val="00B66AAD"/>
    <w:rsid w:val="00B71064"/>
    <w:rsid w:val="00B7284D"/>
    <w:rsid w:val="00B75954"/>
    <w:rsid w:val="00B75B6C"/>
    <w:rsid w:val="00B7658C"/>
    <w:rsid w:val="00B7738A"/>
    <w:rsid w:val="00B84F20"/>
    <w:rsid w:val="00B872FC"/>
    <w:rsid w:val="00B94049"/>
    <w:rsid w:val="00B95C4C"/>
    <w:rsid w:val="00B978A4"/>
    <w:rsid w:val="00B97AFD"/>
    <w:rsid w:val="00BA0551"/>
    <w:rsid w:val="00BA38E1"/>
    <w:rsid w:val="00BA5BF5"/>
    <w:rsid w:val="00BA712E"/>
    <w:rsid w:val="00BB4BCF"/>
    <w:rsid w:val="00BC3662"/>
    <w:rsid w:val="00BD1A02"/>
    <w:rsid w:val="00BD306D"/>
    <w:rsid w:val="00BD5809"/>
    <w:rsid w:val="00BE01AD"/>
    <w:rsid w:val="00BE3334"/>
    <w:rsid w:val="00BE3792"/>
    <w:rsid w:val="00BF296D"/>
    <w:rsid w:val="00BF2A0B"/>
    <w:rsid w:val="00BF36D9"/>
    <w:rsid w:val="00BF722F"/>
    <w:rsid w:val="00BF7DD2"/>
    <w:rsid w:val="00C040A8"/>
    <w:rsid w:val="00C05523"/>
    <w:rsid w:val="00C067BB"/>
    <w:rsid w:val="00C07752"/>
    <w:rsid w:val="00C10467"/>
    <w:rsid w:val="00C131B0"/>
    <w:rsid w:val="00C1530D"/>
    <w:rsid w:val="00C164AB"/>
    <w:rsid w:val="00C42E56"/>
    <w:rsid w:val="00C44982"/>
    <w:rsid w:val="00C46BC4"/>
    <w:rsid w:val="00C5037A"/>
    <w:rsid w:val="00C5111E"/>
    <w:rsid w:val="00C55474"/>
    <w:rsid w:val="00C5689B"/>
    <w:rsid w:val="00C57630"/>
    <w:rsid w:val="00C63060"/>
    <w:rsid w:val="00C63914"/>
    <w:rsid w:val="00C716DC"/>
    <w:rsid w:val="00C717F7"/>
    <w:rsid w:val="00C76187"/>
    <w:rsid w:val="00C76B4E"/>
    <w:rsid w:val="00C800CC"/>
    <w:rsid w:val="00C805EE"/>
    <w:rsid w:val="00C80F84"/>
    <w:rsid w:val="00C812E1"/>
    <w:rsid w:val="00C81DAE"/>
    <w:rsid w:val="00C82A48"/>
    <w:rsid w:val="00C837D7"/>
    <w:rsid w:val="00C85B75"/>
    <w:rsid w:val="00CA0C0A"/>
    <w:rsid w:val="00CB3749"/>
    <w:rsid w:val="00CB39CA"/>
    <w:rsid w:val="00CB3DCF"/>
    <w:rsid w:val="00CB4777"/>
    <w:rsid w:val="00CB5E14"/>
    <w:rsid w:val="00CB6465"/>
    <w:rsid w:val="00CB7C86"/>
    <w:rsid w:val="00CC035E"/>
    <w:rsid w:val="00CC0BD5"/>
    <w:rsid w:val="00CC3027"/>
    <w:rsid w:val="00CC380D"/>
    <w:rsid w:val="00CC4958"/>
    <w:rsid w:val="00CC4D16"/>
    <w:rsid w:val="00CC4DF1"/>
    <w:rsid w:val="00CC7EAE"/>
    <w:rsid w:val="00CC7ED8"/>
    <w:rsid w:val="00CD0862"/>
    <w:rsid w:val="00CD16A4"/>
    <w:rsid w:val="00CD1C8E"/>
    <w:rsid w:val="00CE00A4"/>
    <w:rsid w:val="00CE0CA4"/>
    <w:rsid w:val="00CE41F8"/>
    <w:rsid w:val="00CE68F7"/>
    <w:rsid w:val="00CE70EA"/>
    <w:rsid w:val="00CF022E"/>
    <w:rsid w:val="00CF0D68"/>
    <w:rsid w:val="00CF2930"/>
    <w:rsid w:val="00CF2ED0"/>
    <w:rsid w:val="00CF63AD"/>
    <w:rsid w:val="00D0101C"/>
    <w:rsid w:val="00D06EA8"/>
    <w:rsid w:val="00D074A6"/>
    <w:rsid w:val="00D10418"/>
    <w:rsid w:val="00D157F2"/>
    <w:rsid w:val="00D16247"/>
    <w:rsid w:val="00D20DDE"/>
    <w:rsid w:val="00D21480"/>
    <w:rsid w:val="00D215C4"/>
    <w:rsid w:val="00D22043"/>
    <w:rsid w:val="00D26C19"/>
    <w:rsid w:val="00D312F4"/>
    <w:rsid w:val="00D3159D"/>
    <w:rsid w:val="00D44D06"/>
    <w:rsid w:val="00D46C6F"/>
    <w:rsid w:val="00D46DDA"/>
    <w:rsid w:val="00D46F94"/>
    <w:rsid w:val="00D47B0F"/>
    <w:rsid w:val="00D5023E"/>
    <w:rsid w:val="00D508D5"/>
    <w:rsid w:val="00D515F2"/>
    <w:rsid w:val="00D541C0"/>
    <w:rsid w:val="00D5484C"/>
    <w:rsid w:val="00D57CE1"/>
    <w:rsid w:val="00D61CFF"/>
    <w:rsid w:val="00D63617"/>
    <w:rsid w:val="00D70419"/>
    <w:rsid w:val="00D73794"/>
    <w:rsid w:val="00D74D65"/>
    <w:rsid w:val="00D74F6B"/>
    <w:rsid w:val="00D8015E"/>
    <w:rsid w:val="00D86C9E"/>
    <w:rsid w:val="00D87CD3"/>
    <w:rsid w:val="00D90107"/>
    <w:rsid w:val="00D97D00"/>
    <w:rsid w:val="00DA1598"/>
    <w:rsid w:val="00DA1B60"/>
    <w:rsid w:val="00DA33C2"/>
    <w:rsid w:val="00DA3B0E"/>
    <w:rsid w:val="00DB1397"/>
    <w:rsid w:val="00DB2659"/>
    <w:rsid w:val="00DB3ABC"/>
    <w:rsid w:val="00DB40C8"/>
    <w:rsid w:val="00DB5183"/>
    <w:rsid w:val="00DB51C3"/>
    <w:rsid w:val="00DC139A"/>
    <w:rsid w:val="00DC185E"/>
    <w:rsid w:val="00DD2D12"/>
    <w:rsid w:val="00DD2D3A"/>
    <w:rsid w:val="00DD49AA"/>
    <w:rsid w:val="00DE1075"/>
    <w:rsid w:val="00DE19EC"/>
    <w:rsid w:val="00DE716D"/>
    <w:rsid w:val="00DF7EB5"/>
    <w:rsid w:val="00E01956"/>
    <w:rsid w:val="00E038E4"/>
    <w:rsid w:val="00E049CF"/>
    <w:rsid w:val="00E04F1E"/>
    <w:rsid w:val="00E04F89"/>
    <w:rsid w:val="00E05C42"/>
    <w:rsid w:val="00E07655"/>
    <w:rsid w:val="00E078EF"/>
    <w:rsid w:val="00E142B1"/>
    <w:rsid w:val="00E20991"/>
    <w:rsid w:val="00E23894"/>
    <w:rsid w:val="00E31403"/>
    <w:rsid w:val="00E335FA"/>
    <w:rsid w:val="00E337D5"/>
    <w:rsid w:val="00E35267"/>
    <w:rsid w:val="00E37137"/>
    <w:rsid w:val="00E42D3B"/>
    <w:rsid w:val="00E469A1"/>
    <w:rsid w:val="00E47D23"/>
    <w:rsid w:val="00E55185"/>
    <w:rsid w:val="00E55D49"/>
    <w:rsid w:val="00E626E0"/>
    <w:rsid w:val="00E70D6F"/>
    <w:rsid w:val="00E81423"/>
    <w:rsid w:val="00E82C18"/>
    <w:rsid w:val="00E82F14"/>
    <w:rsid w:val="00E85926"/>
    <w:rsid w:val="00E903E8"/>
    <w:rsid w:val="00E92455"/>
    <w:rsid w:val="00E939D2"/>
    <w:rsid w:val="00E94DC2"/>
    <w:rsid w:val="00EA0DC3"/>
    <w:rsid w:val="00EA187C"/>
    <w:rsid w:val="00EA1E6D"/>
    <w:rsid w:val="00EA2979"/>
    <w:rsid w:val="00EA7166"/>
    <w:rsid w:val="00EB2CB6"/>
    <w:rsid w:val="00EB45B9"/>
    <w:rsid w:val="00EB7CC8"/>
    <w:rsid w:val="00EC0ABA"/>
    <w:rsid w:val="00EC303B"/>
    <w:rsid w:val="00EC36A8"/>
    <w:rsid w:val="00EC4879"/>
    <w:rsid w:val="00EC49F0"/>
    <w:rsid w:val="00ED4585"/>
    <w:rsid w:val="00ED795D"/>
    <w:rsid w:val="00EE1DC4"/>
    <w:rsid w:val="00EE3958"/>
    <w:rsid w:val="00EE50F2"/>
    <w:rsid w:val="00EE68FE"/>
    <w:rsid w:val="00EE73CF"/>
    <w:rsid w:val="00EE781D"/>
    <w:rsid w:val="00EF145A"/>
    <w:rsid w:val="00EF2A52"/>
    <w:rsid w:val="00EF2D8D"/>
    <w:rsid w:val="00F0089C"/>
    <w:rsid w:val="00F05D1C"/>
    <w:rsid w:val="00F073BE"/>
    <w:rsid w:val="00F1270C"/>
    <w:rsid w:val="00F144D7"/>
    <w:rsid w:val="00F1495C"/>
    <w:rsid w:val="00F14BCD"/>
    <w:rsid w:val="00F17441"/>
    <w:rsid w:val="00F20D64"/>
    <w:rsid w:val="00F24ED2"/>
    <w:rsid w:val="00F252FA"/>
    <w:rsid w:val="00F301CF"/>
    <w:rsid w:val="00F30C07"/>
    <w:rsid w:val="00F310D8"/>
    <w:rsid w:val="00F31E12"/>
    <w:rsid w:val="00F37416"/>
    <w:rsid w:val="00F40476"/>
    <w:rsid w:val="00F412A2"/>
    <w:rsid w:val="00F4342A"/>
    <w:rsid w:val="00F434F6"/>
    <w:rsid w:val="00F46D98"/>
    <w:rsid w:val="00F47AD4"/>
    <w:rsid w:val="00F50864"/>
    <w:rsid w:val="00F53714"/>
    <w:rsid w:val="00F54358"/>
    <w:rsid w:val="00F54B8E"/>
    <w:rsid w:val="00F57D76"/>
    <w:rsid w:val="00F61D09"/>
    <w:rsid w:val="00F61DB6"/>
    <w:rsid w:val="00F632A2"/>
    <w:rsid w:val="00F6375C"/>
    <w:rsid w:val="00F65632"/>
    <w:rsid w:val="00F657F1"/>
    <w:rsid w:val="00F674C6"/>
    <w:rsid w:val="00F710DF"/>
    <w:rsid w:val="00F76693"/>
    <w:rsid w:val="00F82646"/>
    <w:rsid w:val="00F84B43"/>
    <w:rsid w:val="00F85E5C"/>
    <w:rsid w:val="00F865C3"/>
    <w:rsid w:val="00F87142"/>
    <w:rsid w:val="00F91DD4"/>
    <w:rsid w:val="00F93890"/>
    <w:rsid w:val="00F97274"/>
    <w:rsid w:val="00F97CC5"/>
    <w:rsid w:val="00FA01D4"/>
    <w:rsid w:val="00FA190E"/>
    <w:rsid w:val="00FA4588"/>
    <w:rsid w:val="00FA4EB1"/>
    <w:rsid w:val="00FA58A1"/>
    <w:rsid w:val="00FA6EF5"/>
    <w:rsid w:val="00FA78FF"/>
    <w:rsid w:val="00FB03C8"/>
    <w:rsid w:val="00FB0C22"/>
    <w:rsid w:val="00FB514C"/>
    <w:rsid w:val="00FB5960"/>
    <w:rsid w:val="00FC0041"/>
    <w:rsid w:val="00FC1648"/>
    <w:rsid w:val="00FC4C1D"/>
    <w:rsid w:val="00FC542E"/>
    <w:rsid w:val="00FC582E"/>
    <w:rsid w:val="00FD30A4"/>
    <w:rsid w:val="00FD68EB"/>
    <w:rsid w:val="00FD7296"/>
    <w:rsid w:val="00FD74C7"/>
    <w:rsid w:val="00FE1BC5"/>
    <w:rsid w:val="00FE1F76"/>
    <w:rsid w:val="00FE64D5"/>
    <w:rsid w:val="00FE799E"/>
    <w:rsid w:val="00FF265A"/>
    <w:rsid w:val="00FF2CA7"/>
    <w:rsid w:val="00FF48D9"/>
    <w:rsid w:val="00FF5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BB84F"/>
  <w15:chartTrackingRefBased/>
  <w15:docId w15:val="{F8B22EFD-FA4D-4209-B419-6C3FF47A9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FB0"/>
    <w:pPr>
      <w:spacing w:after="0" w:line="240" w:lineRule="auto"/>
    </w:pPr>
    <w:rPr>
      <w:rFonts w:ascii="Calibri" w:hAnsi="Calibri" w:cs="Calibri"/>
    </w:rPr>
  </w:style>
  <w:style w:type="paragraph" w:styleId="Heading1">
    <w:name w:val="heading 1"/>
    <w:basedOn w:val="Normal"/>
    <w:link w:val="Heading1Char"/>
    <w:uiPriority w:val="9"/>
    <w:qFormat/>
    <w:rsid w:val="005B7F2C"/>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4FB0"/>
    <w:rPr>
      <w:color w:val="0563C1"/>
      <w:u w:val="single"/>
    </w:rPr>
  </w:style>
  <w:style w:type="character" w:styleId="FollowedHyperlink">
    <w:name w:val="FollowedHyperlink"/>
    <w:basedOn w:val="DefaultParagraphFont"/>
    <w:uiPriority w:val="99"/>
    <w:semiHidden/>
    <w:unhideWhenUsed/>
    <w:rsid w:val="007C5E5C"/>
    <w:rPr>
      <w:color w:val="954F72" w:themeColor="followedHyperlink"/>
      <w:u w:val="single"/>
    </w:rPr>
  </w:style>
  <w:style w:type="paragraph" w:styleId="Header">
    <w:name w:val="header"/>
    <w:basedOn w:val="Normal"/>
    <w:link w:val="HeaderChar"/>
    <w:uiPriority w:val="99"/>
    <w:unhideWhenUsed/>
    <w:rsid w:val="00CC380D"/>
    <w:pPr>
      <w:tabs>
        <w:tab w:val="center" w:pos="4680"/>
        <w:tab w:val="right" w:pos="9360"/>
      </w:tabs>
    </w:pPr>
  </w:style>
  <w:style w:type="character" w:customStyle="1" w:styleId="HeaderChar">
    <w:name w:val="Header Char"/>
    <w:basedOn w:val="DefaultParagraphFont"/>
    <w:link w:val="Header"/>
    <w:uiPriority w:val="99"/>
    <w:rsid w:val="00CC380D"/>
    <w:rPr>
      <w:rFonts w:ascii="Calibri" w:hAnsi="Calibri" w:cs="Calibri"/>
    </w:rPr>
  </w:style>
  <w:style w:type="paragraph" w:styleId="Footer">
    <w:name w:val="footer"/>
    <w:basedOn w:val="Normal"/>
    <w:link w:val="FooterChar"/>
    <w:uiPriority w:val="99"/>
    <w:unhideWhenUsed/>
    <w:rsid w:val="00CC380D"/>
    <w:pPr>
      <w:tabs>
        <w:tab w:val="center" w:pos="4680"/>
        <w:tab w:val="right" w:pos="9360"/>
      </w:tabs>
    </w:pPr>
  </w:style>
  <w:style w:type="character" w:customStyle="1" w:styleId="FooterChar">
    <w:name w:val="Footer Char"/>
    <w:basedOn w:val="DefaultParagraphFont"/>
    <w:link w:val="Footer"/>
    <w:uiPriority w:val="99"/>
    <w:rsid w:val="00CC380D"/>
    <w:rPr>
      <w:rFonts w:ascii="Calibri" w:hAnsi="Calibri" w:cs="Calibri"/>
    </w:rPr>
  </w:style>
  <w:style w:type="character" w:styleId="Strong">
    <w:name w:val="Strong"/>
    <w:uiPriority w:val="22"/>
    <w:qFormat/>
    <w:rsid w:val="00CC380D"/>
    <w:rPr>
      <w:b/>
      <w:bCs/>
    </w:rPr>
  </w:style>
  <w:style w:type="paragraph" w:styleId="BalloonText">
    <w:name w:val="Balloon Text"/>
    <w:basedOn w:val="Normal"/>
    <w:link w:val="BalloonTextChar"/>
    <w:uiPriority w:val="99"/>
    <w:semiHidden/>
    <w:unhideWhenUsed/>
    <w:rsid w:val="00CE00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0A4"/>
    <w:rPr>
      <w:rFonts w:ascii="Segoe UI" w:hAnsi="Segoe UI" w:cs="Segoe UI"/>
      <w:sz w:val="18"/>
      <w:szCs w:val="18"/>
    </w:rPr>
  </w:style>
  <w:style w:type="paragraph" w:styleId="NormalWeb">
    <w:name w:val="Normal (Web)"/>
    <w:basedOn w:val="Normal"/>
    <w:uiPriority w:val="99"/>
    <w:semiHidden/>
    <w:unhideWhenUsed/>
    <w:rsid w:val="003765AD"/>
    <w:pPr>
      <w:spacing w:before="100" w:beforeAutospacing="1" w:after="100" w:afterAutospacing="1"/>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EE7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E73CF"/>
    <w:rPr>
      <w:rFonts w:ascii="Courier New" w:eastAsia="Times New Roman" w:hAnsi="Courier New" w:cs="Courier New"/>
      <w:sz w:val="20"/>
      <w:szCs w:val="20"/>
    </w:rPr>
  </w:style>
  <w:style w:type="paragraph" w:customStyle="1" w:styleId="Default">
    <w:name w:val="Default"/>
    <w:rsid w:val="00862684"/>
    <w:pPr>
      <w:autoSpaceDE w:val="0"/>
      <w:autoSpaceDN w:val="0"/>
      <w:adjustRightInd w:val="0"/>
      <w:spacing w:after="0" w:line="240" w:lineRule="auto"/>
    </w:pPr>
    <w:rPr>
      <w:rFonts w:ascii="Wells Fargo Sans" w:hAnsi="Wells Fargo Sans" w:cs="Wells Fargo Sans"/>
      <w:color w:val="000000"/>
      <w:sz w:val="24"/>
      <w:szCs w:val="24"/>
    </w:rPr>
  </w:style>
  <w:style w:type="table" w:styleId="TableGrid">
    <w:name w:val="Table Grid"/>
    <w:basedOn w:val="TableNormal"/>
    <w:uiPriority w:val="39"/>
    <w:rsid w:val="00155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B7F2C"/>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8B35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811">
      <w:bodyDiv w:val="1"/>
      <w:marLeft w:val="0"/>
      <w:marRight w:val="0"/>
      <w:marTop w:val="0"/>
      <w:marBottom w:val="0"/>
      <w:divBdr>
        <w:top w:val="none" w:sz="0" w:space="0" w:color="auto"/>
        <w:left w:val="none" w:sz="0" w:space="0" w:color="auto"/>
        <w:bottom w:val="none" w:sz="0" w:space="0" w:color="auto"/>
        <w:right w:val="none" w:sz="0" w:space="0" w:color="auto"/>
      </w:divBdr>
    </w:div>
    <w:div w:id="3171018">
      <w:bodyDiv w:val="1"/>
      <w:marLeft w:val="0"/>
      <w:marRight w:val="0"/>
      <w:marTop w:val="0"/>
      <w:marBottom w:val="0"/>
      <w:divBdr>
        <w:top w:val="none" w:sz="0" w:space="0" w:color="auto"/>
        <w:left w:val="none" w:sz="0" w:space="0" w:color="auto"/>
        <w:bottom w:val="none" w:sz="0" w:space="0" w:color="auto"/>
        <w:right w:val="none" w:sz="0" w:space="0" w:color="auto"/>
      </w:divBdr>
    </w:div>
    <w:div w:id="7408871">
      <w:bodyDiv w:val="1"/>
      <w:marLeft w:val="0"/>
      <w:marRight w:val="0"/>
      <w:marTop w:val="0"/>
      <w:marBottom w:val="0"/>
      <w:divBdr>
        <w:top w:val="none" w:sz="0" w:space="0" w:color="auto"/>
        <w:left w:val="none" w:sz="0" w:space="0" w:color="auto"/>
        <w:bottom w:val="none" w:sz="0" w:space="0" w:color="auto"/>
        <w:right w:val="none" w:sz="0" w:space="0" w:color="auto"/>
      </w:divBdr>
    </w:div>
    <w:div w:id="20790077">
      <w:bodyDiv w:val="1"/>
      <w:marLeft w:val="0"/>
      <w:marRight w:val="0"/>
      <w:marTop w:val="0"/>
      <w:marBottom w:val="0"/>
      <w:divBdr>
        <w:top w:val="none" w:sz="0" w:space="0" w:color="auto"/>
        <w:left w:val="none" w:sz="0" w:space="0" w:color="auto"/>
        <w:bottom w:val="none" w:sz="0" w:space="0" w:color="auto"/>
        <w:right w:val="none" w:sz="0" w:space="0" w:color="auto"/>
      </w:divBdr>
    </w:div>
    <w:div w:id="36124098">
      <w:bodyDiv w:val="1"/>
      <w:marLeft w:val="0"/>
      <w:marRight w:val="0"/>
      <w:marTop w:val="0"/>
      <w:marBottom w:val="0"/>
      <w:divBdr>
        <w:top w:val="none" w:sz="0" w:space="0" w:color="auto"/>
        <w:left w:val="none" w:sz="0" w:space="0" w:color="auto"/>
        <w:bottom w:val="none" w:sz="0" w:space="0" w:color="auto"/>
        <w:right w:val="none" w:sz="0" w:space="0" w:color="auto"/>
      </w:divBdr>
    </w:div>
    <w:div w:id="40401607">
      <w:bodyDiv w:val="1"/>
      <w:marLeft w:val="0"/>
      <w:marRight w:val="0"/>
      <w:marTop w:val="0"/>
      <w:marBottom w:val="0"/>
      <w:divBdr>
        <w:top w:val="none" w:sz="0" w:space="0" w:color="auto"/>
        <w:left w:val="none" w:sz="0" w:space="0" w:color="auto"/>
        <w:bottom w:val="none" w:sz="0" w:space="0" w:color="auto"/>
        <w:right w:val="none" w:sz="0" w:space="0" w:color="auto"/>
      </w:divBdr>
    </w:div>
    <w:div w:id="54816599">
      <w:bodyDiv w:val="1"/>
      <w:marLeft w:val="0"/>
      <w:marRight w:val="0"/>
      <w:marTop w:val="0"/>
      <w:marBottom w:val="0"/>
      <w:divBdr>
        <w:top w:val="none" w:sz="0" w:space="0" w:color="auto"/>
        <w:left w:val="none" w:sz="0" w:space="0" w:color="auto"/>
        <w:bottom w:val="none" w:sz="0" w:space="0" w:color="auto"/>
        <w:right w:val="none" w:sz="0" w:space="0" w:color="auto"/>
      </w:divBdr>
    </w:div>
    <w:div w:id="73557302">
      <w:bodyDiv w:val="1"/>
      <w:marLeft w:val="0"/>
      <w:marRight w:val="0"/>
      <w:marTop w:val="0"/>
      <w:marBottom w:val="0"/>
      <w:divBdr>
        <w:top w:val="none" w:sz="0" w:space="0" w:color="auto"/>
        <w:left w:val="none" w:sz="0" w:space="0" w:color="auto"/>
        <w:bottom w:val="none" w:sz="0" w:space="0" w:color="auto"/>
        <w:right w:val="none" w:sz="0" w:space="0" w:color="auto"/>
      </w:divBdr>
    </w:div>
    <w:div w:id="81073990">
      <w:bodyDiv w:val="1"/>
      <w:marLeft w:val="0"/>
      <w:marRight w:val="0"/>
      <w:marTop w:val="0"/>
      <w:marBottom w:val="0"/>
      <w:divBdr>
        <w:top w:val="none" w:sz="0" w:space="0" w:color="auto"/>
        <w:left w:val="none" w:sz="0" w:space="0" w:color="auto"/>
        <w:bottom w:val="none" w:sz="0" w:space="0" w:color="auto"/>
        <w:right w:val="none" w:sz="0" w:space="0" w:color="auto"/>
      </w:divBdr>
    </w:div>
    <w:div w:id="84811653">
      <w:bodyDiv w:val="1"/>
      <w:marLeft w:val="0"/>
      <w:marRight w:val="0"/>
      <w:marTop w:val="0"/>
      <w:marBottom w:val="0"/>
      <w:divBdr>
        <w:top w:val="none" w:sz="0" w:space="0" w:color="auto"/>
        <w:left w:val="none" w:sz="0" w:space="0" w:color="auto"/>
        <w:bottom w:val="none" w:sz="0" w:space="0" w:color="auto"/>
        <w:right w:val="none" w:sz="0" w:space="0" w:color="auto"/>
      </w:divBdr>
    </w:div>
    <w:div w:id="86464664">
      <w:bodyDiv w:val="1"/>
      <w:marLeft w:val="0"/>
      <w:marRight w:val="0"/>
      <w:marTop w:val="0"/>
      <w:marBottom w:val="0"/>
      <w:divBdr>
        <w:top w:val="none" w:sz="0" w:space="0" w:color="auto"/>
        <w:left w:val="none" w:sz="0" w:space="0" w:color="auto"/>
        <w:bottom w:val="none" w:sz="0" w:space="0" w:color="auto"/>
        <w:right w:val="none" w:sz="0" w:space="0" w:color="auto"/>
      </w:divBdr>
    </w:div>
    <w:div w:id="91051665">
      <w:bodyDiv w:val="1"/>
      <w:marLeft w:val="0"/>
      <w:marRight w:val="0"/>
      <w:marTop w:val="0"/>
      <w:marBottom w:val="0"/>
      <w:divBdr>
        <w:top w:val="none" w:sz="0" w:space="0" w:color="auto"/>
        <w:left w:val="none" w:sz="0" w:space="0" w:color="auto"/>
        <w:bottom w:val="none" w:sz="0" w:space="0" w:color="auto"/>
        <w:right w:val="none" w:sz="0" w:space="0" w:color="auto"/>
      </w:divBdr>
    </w:div>
    <w:div w:id="97524326">
      <w:bodyDiv w:val="1"/>
      <w:marLeft w:val="0"/>
      <w:marRight w:val="0"/>
      <w:marTop w:val="0"/>
      <w:marBottom w:val="0"/>
      <w:divBdr>
        <w:top w:val="none" w:sz="0" w:space="0" w:color="auto"/>
        <w:left w:val="none" w:sz="0" w:space="0" w:color="auto"/>
        <w:bottom w:val="none" w:sz="0" w:space="0" w:color="auto"/>
        <w:right w:val="none" w:sz="0" w:space="0" w:color="auto"/>
      </w:divBdr>
    </w:div>
    <w:div w:id="110901936">
      <w:bodyDiv w:val="1"/>
      <w:marLeft w:val="0"/>
      <w:marRight w:val="0"/>
      <w:marTop w:val="0"/>
      <w:marBottom w:val="0"/>
      <w:divBdr>
        <w:top w:val="none" w:sz="0" w:space="0" w:color="auto"/>
        <w:left w:val="none" w:sz="0" w:space="0" w:color="auto"/>
        <w:bottom w:val="none" w:sz="0" w:space="0" w:color="auto"/>
        <w:right w:val="none" w:sz="0" w:space="0" w:color="auto"/>
      </w:divBdr>
    </w:div>
    <w:div w:id="111754050">
      <w:bodyDiv w:val="1"/>
      <w:marLeft w:val="0"/>
      <w:marRight w:val="0"/>
      <w:marTop w:val="0"/>
      <w:marBottom w:val="0"/>
      <w:divBdr>
        <w:top w:val="none" w:sz="0" w:space="0" w:color="auto"/>
        <w:left w:val="none" w:sz="0" w:space="0" w:color="auto"/>
        <w:bottom w:val="none" w:sz="0" w:space="0" w:color="auto"/>
        <w:right w:val="none" w:sz="0" w:space="0" w:color="auto"/>
      </w:divBdr>
    </w:div>
    <w:div w:id="119030796">
      <w:bodyDiv w:val="1"/>
      <w:marLeft w:val="0"/>
      <w:marRight w:val="0"/>
      <w:marTop w:val="0"/>
      <w:marBottom w:val="0"/>
      <w:divBdr>
        <w:top w:val="none" w:sz="0" w:space="0" w:color="auto"/>
        <w:left w:val="none" w:sz="0" w:space="0" w:color="auto"/>
        <w:bottom w:val="none" w:sz="0" w:space="0" w:color="auto"/>
        <w:right w:val="none" w:sz="0" w:space="0" w:color="auto"/>
      </w:divBdr>
      <w:divsChild>
        <w:div w:id="601838027">
          <w:marLeft w:val="187"/>
          <w:marRight w:val="0"/>
          <w:marTop w:val="60"/>
          <w:marBottom w:val="0"/>
          <w:divBdr>
            <w:top w:val="none" w:sz="0" w:space="0" w:color="auto"/>
            <w:left w:val="none" w:sz="0" w:space="0" w:color="auto"/>
            <w:bottom w:val="none" w:sz="0" w:space="0" w:color="auto"/>
            <w:right w:val="none" w:sz="0" w:space="0" w:color="auto"/>
          </w:divBdr>
        </w:div>
      </w:divsChild>
    </w:div>
    <w:div w:id="143396403">
      <w:bodyDiv w:val="1"/>
      <w:marLeft w:val="0"/>
      <w:marRight w:val="0"/>
      <w:marTop w:val="0"/>
      <w:marBottom w:val="0"/>
      <w:divBdr>
        <w:top w:val="none" w:sz="0" w:space="0" w:color="auto"/>
        <w:left w:val="none" w:sz="0" w:space="0" w:color="auto"/>
        <w:bottom w:val="none" w:sz="0" w:space="0" w:color="auto"/>
        <w:right w:val="none" w:sz="0" w:space="0" w:color="auto"/>
      </w:divBdr>
    </w:div>
    <w:div w:id="149100356">
      <w:bodyDiv w:val="1"/>
      <w:marLeft w:val="0"/>
      <w:marRight w:val="0"/>
      <w:marTop w:val="0"/>
      <w:marBottom w:val="0"/>
      <w:divBdr>
        <w:top w:val="none" w:sz="0" w:space="0" w:color="auto"/>
        <w:left w:val="none" w:sz="0" w:space="0" w:color="auto"/>
        <w:bottom w:val="none" w:sz="0" w:space="0" w:color="auto"/>
        <w:right w:val="none" w:sz="0" w:space="0" w:color="auto"/>
      </w:divBdr>
    </w:div>
    <w:div w:id="154497583">
      <w:bodyDiv w:val="1"/>
      <w:marLeft w:val="0"/>
      <w:marRight w:val="0"/>
      <w:marTop w:val="0"/>
      <w:marBottom w:val="0"/>
      <w:divBdr>
        <w:top w:val="none" w:sz="0" w:space="0" w:color="auto"/>
        <w:left w:val="none" w:sz="0" w:space="0" w:color="auto"/>
        <w:bottom w:val="none" w:sz="0" w:space="0" w:color="auto"/>
        <w:right w:val="none" w:sz="0" w:space="0" w:color="auto"/>
      </w:divBdr>
    </w:div>
    <w:div w:id="174924324">
      <w:bodyDiv w:val="1"/>
      <w:marLeft w:val="0"/>
      <w:marRight w:val="0"/>
      <w:marTop w:val="0"/>
      <w:marBottom w:val="0"/>
      <w:divBdr>
        <w:top w:val="none" w:sz="0" w:space="0" w:color="auto"/>
        <w:left w:val="none" w:sz="0" w:space="0" w:color="auto"/>
        <w:bottom w:val="none" w:sz="0" w:space="0" w:color="auto"/>
        <w:right w:val="none" w:sz="0" w:space="0" w:color="auto"/>
      </w:divBdr>
    </w:div>
    <w:div w:id="176238860">
      <w:bodyDiv w:val="1"/>
      <w:marLeft w:val="0"/>
      <w:marRight w:val="0"/>
      <w:marTop w:val="0"/>
      <w:marBottom w:val="0"/>
      <w:divBdr>
        <w:top w:val="none" w:sz="0" w:space="0" w:color="auto"/>
        <w:left w:val="none" w:sz="0" w:space="0" w:color="auto"/>
        <w:bottom w:val="none" w:sz="0" w:space="0" w:color="auto"/>
        <w:right w:val="none" w:sz="0" w:space="0" w:color="auto"/>
      </w:divBdr>
    </w:div>
    <w:div w:id="180627417">
      <w:bodyDiv w:val="1"/>
      <w:marLeft w:val="0"/>
      <w:marRight w:val="0"/>
      <w:marTop w:val="0"/>
      <w:marBottom w:val="0"/>
      <w:divBdr>
        <w:top w:val="none" w:sz="0" w:space="0" w:color="auto"/>
        <w:left w:val="none" w:sz="0" w:space="0" w:color="auto"/>
        <w:bottom w:val="none" w:sz="0" w:space="0" w:color="auto"/>
        <w:right w:val="none" w:sz="0" w:space="0" w:color="auto"/>
      </w:divBdr>
    </w:div>
    <w:div w:id="215970670">
      <w:bodyDiv w:val="1"/>
      <w:marLeft w:val="0"/>
      <w:marRight w:val="0"/>
      <w:marTop w:val="0"/>
      <w:marBottom w:val="0"/>
      <w:divBdr>
        <w:top w:val="none" w:sz="0" w:space="0" w:color="auto"/>
        <w:left w:val="none" w:sz="0" w:space="0" w:color="auto"/>
        <w:bottom w:val="none" w:sz="0" w:space="0" w:color="auto"/>
        <w:right w:val="none" w:sz="0" w:space="0" w:color="auto"/>
      </w:divBdr>
    </w:div>
    <w:div w:id="220796732">
      <w:bodyDiv w:val="1"/>
      <w:marLeft w:val="0"/>
      <w:marRight w:val="0"/>
      <w:marTop w:val="0"/>
      <w:marBottom w:val="0"/>
      <w:divBdr>
        <w:top w:val="none" w:sz="0" w:space="0" w:color="auto"/>
        <w:left w:val="none" w:sz="0" w:space="0" w:color="auto"/>
        <w:bottom w:val="none" w:sz="0" w:space="0" w:color="auto"/>
        <w:right w:val="none" w:sz="0" w:space="0" w:color="auto"/>
      </w:divBdr>
    </w:div>
    <w:div w:id="239025916">
      <w:bodyDiv w:val="1"/>
      <w:marLeft w:val="0"/>
      <w:marRight w:val="0"/>
      <w:marTop w:val="0"/>
      <w:marBottom w:val="0"/>
      <w:divBdr>
        <w:top w:val="none" w:sz="0" w:space="0" w:color="auto"/>
        <w:left w:val="none" w:sz="0" w:space="0" w:color="auto"/>
        <w:bottom w:val="none" w:sz="0" w:space="0" w:color="auto"/>
        <w:right w:val="none" w:sz="0" w:space="0" w:color="auto"/>
      </w:divBdr>
    </w:div>
    <w:div w:id="241372619">
      <w:bodyDiv w:val="1"/>
      <w:marLeft w:val="0"/>
      <w:marRight w:val="0"/>
      <w:marTop w:val="0"/>
      <w:marBottom w:val="0"/>
      <w:divBdr>
        <w:top w:val="none" w:sz="0" w:space="0" w:color="auto"/>
        <w:left w:val="none" w:sz="0" w:space="0" w:color="auto"/>
        <w:bottom w:val="none" w:sz="0" w:space="0" w:color="auto"/>
        <w:right w:val="none" w:sz="0" w:space="0" w:color="auto"/>
      </w:divBdr>
    </w:div>
    <w:div w:id="268049135">
      <w:bodyDiv w:val="1"/>
      <w:marLeft w:val="0"/>
      <w:marRight w:val="0"/>
      <w:marTop w:val="0"/>
      <w:marBottom w:val="0"/>
      <w:divBdr>
        <w:top w:val="none" w:sz="0" w:space="0" w:color="auto"/>
        <w:left w:val="none" w:sz="0" w:space="0" w:color="auto"/>
        <w:bottom w:val="none" w:sz="0" w:space="0" w:color="auto"/>
        <w:right w:val="none" w:sz="0" w:space="0" w:color="auto"/>
      </w:divBdr>
    </w:div>
    <w:div w:id="274098507">
      <w:bodyDiv w:val="1"/>
      <w:marLeft w:val="0"/>
      <w:marRight w:val="0"/>
      <w:marTop w:val="0"/>
      <w:marBottom w:val="0"/>
      <w:divBdr>
        <w:top w:val="none" w:sz="0" w:space="0" w:color="auto"/>
        <w:left w:val="none" w:sz="0" w:space="0" w:color="auto"/>
        <w:bottom w:val="none" w:sz="0" w:space="0" w:color="auto"/>
        <w:right w:val="none" w:sz="0" w:space="0" w:color="auto"/>
      </w:divBdr>
    </w:div>
    <w:div w:id="285893512">
      <w:bodyDiv w:val="1"/>
      <w:marLeft w:val="0"/>
      <w:marRight w:val="0"/>
      <w:marTop w:val="0"/>
      <w:marBottom w:val="0"/>
      <w:divBdr>
        <w:top w:val="none" w:sz="0" w:space="0" w:color="auto"/>
        <w:left w:val="none" w:sz="0" w:space="0" w:color="auto"/>
        <w:bottom w:val="none" w:sz="0" w:space="0" w:color="auto"/>
        <w:right w:val="none" w:sz="0" w:space="0" w:color="auto"/>
      </w:divBdr>
    </w:div>
    <w:div w:id="293753730">
      <w:bodyDiv w:val="1"/>
      <w:marLeft w:val="0"/>
      <w:marRight w:val="0"/>
      <w:marTop w:val="0"/>
      <w:marBottom w:val="0"/>
      <w:divBdr>
        <w:top w:val="none" w:sz="0" w:space="0" w:color="auto"/>
        <w:left w:val="none" w:sz="0" w:space="0" w:color="auto"/>
        <w:bottom w:val="none" w:sz="0" w:space="0" w:color="auto"/>
        <w:right w:val="none" w:sz="0" w:space="0" w:color="auto"/>
      </w:divBdr>
    </w:div>
    <w:div w:id="297957359">
      <w:bodyDiv w:val="1"/>
      <w:marLeft w:val="0"/>
      <w:marRight w:val="0"/>
      <w:marTop w:val="0"/>
      <w:marBottom w:val="0"/>
      <w:divBdr>
        <w:top w:val="none" w:sz="0" w:space="0" w:color="auto"/>
        <w:left w:val="none" w:sz="0" w:space="0" w:color="auto"/>
        <w:bottom w:val="none" w:sz="0" w:space="0" w:color="auto"/>
        <w:right w:val="none" w:sz="0" w:space="0" w:color="auto"/>
      </w:divBdr>
    </w:div>
    <w:div w:id="304431670">
      <w:bodyDiv w:val="1"/>
      <w:marLeft w:val="0"/>
      <w:marRight w:val="0"/>
      <w:marTop w:val="0"/>
      <w:marBottom w:val="0"/>
      <w:divBdr>
        <w:top w:val="none" w:sz="0" w:space="0" w:color="auto"/>
        <w:left w:val="none" w:sz="0" w:space="0" w:color="auto"/>
        <w:bottom w:val="none" w:sz="0" w:space="0" w:color="auto"/>
        <w:right w:val="none" w:sz="0" w:space="0" w:color="auto"/>
      </w:divBdr>
    </w:div>
    <w:div w:id="304743755">
      <w:bodyDiv w:val="1"/>
      <w:marLeft w:val="0"/>
      <w:marRight w:val="0"/>
      <w:marTop w:val="0"/>
      <w:marBottom w:val="0"/>
      <w:divBdr>
        <w:top w:val="none" w:sz="0" w:space="0" w:color="auto"/>
        <w:left w:val="none" w:sz="0" w:space="0" w:color="auto"/>
        <w:bottom w:val="none" w:sz="0" w:space="0" w:color="auto"/>
        <w:right w:val="none" w:sz="0" w:space="0" w:color="auto"/>
      </w:divBdr>
    </w:div>
    <w:div w:id="314190598">
      <w:bodyDiv w:val="1"/>
      <w:marLeft w:val="0"/>
      <w:marRight w:val="0"/>
      <w:marTop w:val="0"/>
      <w:marBottom w:val="0"/>
      <w:divBdr>
        <w:top w:val="none" w:sz="0" w:space="0" w:color="auto"/>
        <w:left w:val="none" w:sz="0" w:space="0" w:color="auto"/>
        <w:bottom w:val="none" w:sz="0" w:space="0" w:color="auto"/>
        <w:right w:val="none" w:sz="0" w:space="0" w:color="auto"/>
      </w:divBdr>
    </w:div>
    <w:div w:id="319503969">
      <w:bodyDiv w:val="1"/>
      <w:marLeft w:val="0"/>
      <w:marRight w:val="0"/>
      <w:marTop w:val="0"/>
      <w:marBottom w:val="0"/>
      <w:divBdr>
        <w:top w:val="none" w:sz="0" w:space="0" w:color="auto"/>
        <w:left w:val="none" w:sz="0" w:space="0" w:color="auto"/>
        <w:bottom w:val="none" w:sz="0" w:space="0" w:color="auto"/>
        <w:right w:val="none" w:sz="0" w:space="0" w:color="auto"/>
      </w:divBdr>
    </w:div>
    <w:div w:id="333650380">
      <w:bodyDiv w:val="1"/>
      <w:marLeft w:val="0"/>
      <w:marRight w:val="0"/>
      <w:marTop w:val="0"/>
      <w:marBottom w:val="0"/>
      <w:divBdr>
        <w:top w:val="none" w:sz="0" w:space="0" w:color="auto"/>
        <w:left w:val="none" w:sz="0" w:space="0" w:color="auto"/>
        <w:bottom w:val="none" w:sz="0" w:space="0" w:color="auto"/>
        <w:right w:val="none" w:sz="0" w:space="0" w:color="auto"/>
      </w:divBdr>
    </w:div>
    <w:div w:id="369231929">
      <w:bodyDiv w:val="1"/>
      <w:marLeft w:val="0"/>
      <w:marRight w:val="0"/>
      <w:marTop w:val="0"/>
      <w:marBottom w:val="0"/>
      <w:divBdr>
        <w:top w:val="none" w:sz="0" w:space="0" w:color="auto"/>
        <w:left w:val="none" w:sz="0" w:space="0" w:color="auto"/>
        <w:bottom w:val="none" w:sz="0" w:space="0" w:color="auto"/>
        <w:right w:val="none" w:sz="0" w:space="0" w:color="auto"/>
      </w:divBdr>
    </w:div>
    <w:div w:id="374937423">
      <w:bodyDiv w:val="1"/>
      <w:marLeft w:val="0"/>
      <w:marRight w:val="0"/>
      <w:marTop w:val="0"/>
      <w:marBottom w:val="0"/>
      <w:divBdr>
        <w:top w:val="none" w:sz="0" w:space="0" w:color="auto"/>
        <w:left w:val="none" w:sz="0" w:space="0" w:color="auto"/>
        <w:bottom w:val="none" w:sz="0" w:space="0" w:color="auto"/>
        <w:right w:val="none" w:sz="0" w:space="0" w:color="auto"/>
      </w:divBdr>
    </w:div>
    <w:div w:id="380178396">
      <w:bodyDiv w:val="1"/>
      <w:marLeft w:val="0"/>
      <w:marRight w:val="0"/>
      <w:marTop w:val="0"/>
      <w:marBottom w:val="0"/>
      <w:divBdr>
        <w:top w:val="none" w:sz="0" w:space="0" w:color="auto"/>
        <w:left w:val="none" w:sz="0" w:space="0" w:color="auto"/>
        <w:bottom w:val="none" w:sz="0" w:space="0" w:color="auto"/>
        <w:right w:val="none" w:sz="0" w:space="0" w:color="auto"/>
      </w:divBdr>
    </w:div>
    <w:div w:id="386878017">
      <w:bodyDiv w:val="1"/>
      <w:marLeft w:val="0"/>
      <w:marRight w:val="0"/>
      <w:marTop w:val="0"/>
      <w:marBottom w:val="0"/>
      <w:divBdr>
        <w:top w:val="none" w:sz="0" w:space="0" w:color="auto"/>
        <w:left w:val="none" w:sz="0" w:space="0" w:color="auto"/>
        <w:bottom w:val="none" w:sz="0" w:space="0" w:color="auto"/>
        <w:right w:val="none" w:sz="0" w:space="0" w:color="auto"/>
      </w:divBdr>
    </w:div>
    <w:div w:id="392848825">
      <w:bodyDiv w:val="1"/>
      <w:marLeft w:val="0"/>
      <w:marRight w:val="0"/>
      <w:marTop w:val="0"/>
      <w:marBottom w:val="0"/>
      <w:divBdr>
        <w:top w:val="none" w:sz="0" w:space="0" w:color="auto"/>
        <w:left w:val="none" w:sz="0" w:space="0" w:color="auto"/>
        <w:bottom w:val="none" w:sz="0" w:space="0" w:color="auto"/>
        <w:right w:val="none" w:sz="0" w:space="0" w:color="auto"/>
      </w:divBdr>
    </w:div>
    <w:div w:id="414672252">
      <w:bodyDiv w:val="1"/>
      <w:marLeft w:val="0"/>
      <w:marRight w:val="0"/>
      <w:marTop w:val="0"/>
      <w:marBottom w:val="0"/>
      <w:divBdr>
        <w:top w:val="none" w:sz="0" w:space="0" w:color="auto"/>
        <w:left w:val="none" w:sz="0" w:space="0" w:color="auto"/>
        <w:bottom w:val="none" w:sz="0" w:space="0" w:color="auto"/>
        <w:right w:val="none" w:sz="0" w:space="0" w:color="auto"/>
      </w:divBdr>
    </w:div>
    <w:div w:id="432631482">
      <w:bodyDiv w:val="1"/>
      <w:marLeft w:val="0"/>
      <w:marRight w:val="0"/>
      <w:marTop w:val="0"/>
      <w:marBottom w:val="0"/>
      <w:divBdr>
        <w:top w:val="none" w:sz="0" w:space="0" w:color="auto"/>
        <w:left w:val="none" w:sz="0" w:space="0" w:color="auto"/>
        <w:bottom w:val="none" w:sz="0" w:space="0" w:color="auto"/>
        <w:right w:val="none" w:sz="0" w:space="0" w:color="auto"/>
      </w:divBdr>
    </w:div>
    <w:div w:id="434449064">
      <w:bodyDiv w:val="1"/>
      <w:marLeft w:val="0"/>
      <w:marRight w:val="0"/>
      <w:marTop w:val="0"/>
      <w:marBottom w:val="0"/>
      <w:divBdr>
        <w:top w:val="none" w:sz="0" w:space="0" w:color="auto"/>
        <w:left w:val="none" w:sz="0" w:space="0" w:color="auto"/>
        <w:bottom w:val="none" w:sz="0" w:space="0" w:color="auto"/>
        <w:right w:val="none" w:sz="0" w:space="0" w:color="auto"/>
      </w:divBdr>
    </w:div>
    <w:div w:id="455412515">
      <w:bodyDiv w:val="1"/>
      <w:marLeft w:val="0"/>
      <w:marRight w:val="0"/>
      <w:marTop w:val="0"/>
      <w:marBottom w:val="0"/>
      <w:divBdr>
        <w:top w:val="none" w:sz="0" w:space="0" w:color="auto"/>
        <w:left w:val="none" w:sz="0" w:space="0" w:color="auto"/>
        <w:bottom w:val="none" w:sz="0" w:space="0" w:color="auto"/>
        <w:right w:val="none" w:sz="0" w:space="0" w:color="auto"/>
      </w:divBdr>
    </w:div>
    <w:div w:id="457453357">
      <w:bodyDiv w:val="1"/>
      <w:marLeft w:val="0"/>
      <w:marRight w:val="0"/>
      <w:marTop w:val="0"/>
      <w:marBottom w:val="0"/>
      <w:divBdr>
        <w:top w:val="none" w:sz="0" w:space="0" w:color="auto"/>
        <w:left w:val="none" w:sz="0" w:space="0" w:color="auto"/>
        <w:bottom w:val="none" w:sz="0" w:space="0" w:color="auto"/>
        <w:right w:val="none" w:sz="0" w:space="0" w:color="auto"/>
      </w:divBdr>
    </w:div>
    <w:div w:id="460079812">
      <w:bodyDiv w:val="1"/>
      <w:marLeft w:val="0"/>
      <w:marRight w:val="0"/>
      <w:marTop w:val="0"/>
      <w:marBottom w:val="0"/>
      <w:divBdr>
        <w:top w:val="none" w:sz="0" w:space="0" w:color="auto"/>
        <w:left w:val="none" w:sz="0" w:space="0" w:color="auto"/>
        <w:bottom w:val="none" w:sz="0" w:space="0" w:color="auto"/>
        <w:right w:val="none" w:sz="0" w:space="0" w:color="auto"/>
      </w:divBdr>
    </w:div>
    <w:div w:id="463044473">
      <w:bodyDiv w:val="1"/>
      <w:marLeft w:val="0"/>
      <w:marRight w:val="0"/>
      <w:marTop w:val="0"/>
      <w:marBottom w:val="0"/>
      <w:divBdr>
        <w:top w:val="none" w:sz="0" w:space="0" w:color="auto"/>
        <w:left w:val="none" w:sz="0" w:space="0" w:color="auto"/>
        <w:bottom w:val="none" w:sz="0" w:space="0" w:color="auto"/>
        <w:right w:val="none" w:sz="0" w:space="0" w:color="auto"/>
      </w:divBdr>
    </w:div>
    <w:div w:id="471144593">
      <w:bodyDiv w:val="1"/>
      <w:marLeft w:val="0"/>
      <w:marRight w:val="0"/>
      <w:marTop w:val="0"/>
      <w:marBottom w:val="0"/>
      <w:divBdr>
        <w:top w:val="none" w:sz="0" w:space="0" w:color="auto"/>
        <w:left w:val="none" w:sz="0" w:space="0" w:color="auto"/>
        <w:bottom w:val="none" w:sz="0" w:space="0" w:color="auto"/>
        <w:right w:val="none" w:sz="0" w:space="0" w:color="auto"/>
      </w:divBdr>
    </w:div>
    <w:div w:id="483745836">
      <w:bodyDiv w:val="1"/>
      <w:marLeft w:val="0"/>
      <w:marRight w:val="0"/>
      <w:marTop w:val="0"/>
      <w:marBottom w:val="0"/>
      <w:divBdr>
        <w:top w:val="none" w:sz="0" w:space="0" w:color="auto"/>
        <w:left w:val="none" w:sz="0" w:space="0" w:color="auto"/>
        <w:bottom w:val="none" w:sz="0" w:space="0" w:color="auto"/>
        <w:right w:val="none" w:sz="0" w:space="0" w:color="auto"/>
      </w:divBdr>
    </w:div>
    <w:div w:id="514809793">
      <w:bodyDiv w:val="1"/>
      <w:marLeft w:val="0"/>
      <w:marRight w:val="0"/>
      <w:marTop w:val="0"/>
      <w:marBottom w:val="0"/>
      <w:divBdr>
        <w:top w:val="none" w:sz="0" w:space="0" w:color="auto"/>
        <w:left w:val="none" w:sz="0" w:space="0" w:color="auto"/>
        <w:bottom w:val="none" w:sz="0" w:space="0" w:color="auto"/>
        <w:right w:val="none" w:sz="0" w:space="0" w:color="auto"/>
      </w:divBdr>
    </w:div>
    <w:div w:id="520700307">
      <w:bodyDiv w:val="1"/>
      <w:marLeft w:val="0"/>
      <w:marRight w:val="0"/>
      <w:marTop w:val="0"/>
      <w:marBottom w:val="0"/>
      <w:divBdr>
        <w:top w:val="none" w:sz="0" w:space="0" w:color="auto"/>
        <w:left w:val="none" w:sz="0" w:space="0" w:color="auto"/>
        <w:bottom w:val="none" w:sz="0" w:space="0" w:color="auto"/>
        <w:right w:val="none" w:sz="0" w:space="0" w:color="auto"/>
      </w:divBdr>
    </w:div>
    <w:div w:id="524561132">
      <w:bodyDiv w:val="1"/>
      <w:marLeft w:val="0"/>
      <w:marRight w:val="0"/>
      <w:marTop w:val="0"/>
      <w:marBottom w:val="0"/>
      <w:divBdr>
        <w:top w:val="none" w:sz="0" w:space="0" w:color="auto"/>
        <w:left w:val="none" w:sz="0" w:space="0" w:color="auto"/>
        <w:bottom w:val="none" w:sz="0" w:space="0" w:color="auto"/>
        <w:right w:val="none" w:sz="0" w:space="0" w:color="auto"/>
      </w:divBdr>
    </w:div>
    <w:div w:id="527331088">
      <w:bodyDiv w:val="1"/>
      <w:marLeft w:val="0"/>
      <w:marRight w:val="0"/>
      <w:marTop w:val="0"/>
      <w:marBottom w:val="0"/>
      <w:divBdr>
        <w:top w:val="none" w:sz="0" w:space="0" w:color="auto"/>
        <w:left w:val="none" w:sz="0" w:space="0" w:color="auto"/>
        <w:bottom w:val="none" w:sz="0" w:space="0" w:color="auto"/>
        <w:right w:val="none" w:sz="0" w:space="0" w:color="auto"/>
      </w:divBdr>
    </w:div>
    <w:div w:id="527765091">
      <w:bodyDiv w:val="1"/>
      <w:marLeft w:val="0"/>
      <w:marRight w:val="0"/>
      <w:marTop w:val="0"/>
      <w:marBottom w:val="0"/>
      <w:divBdr>
        <w:top w:val="none" w:sz="0" w:space="0" w:color="auto"/>
        <w:left w:val="none" w:sz="0" w:space="0" w:color="auto"/>
        <w:bottom w:val="none" w:sz="0" w:space="0" w:color="auto"/>
        <w:right w:val="none" w:sz="0" w:space="0" w:color="auto"/>
      </w:divBdr>
    </w:div>
    <w:div w:id="540244267">
      <w:bodyDiv w:val="1"/>
      <w:marLeft w:val="0"/>
      <w:marRight w:val="0"/>
      <w:marTop w:val="0"/>
      <w:marBottom w:val="0"/>
      <w:divBdr>
        <w:top w:val="none" w:sz="0" w:space="0" w:color="auto"/>
        <w:left w:val="none" w:sz="0" w:space="0" w:color="auto"/>
        <w:bottom w:val="none" w:sz="0" w:space="0" w:color="auto"/>
        <w:right w:val="none" w:sz="0" w:space="0" w:color="auto"/>
      </w:divBdr>
    </w:div>
    <w:div w:id="550650831">
      <w:bodyDiv w:val="1"/>
      <w:marLeft w:val="0"/>
      <w:marRight w:val="0"/>
      <w:marTop w:val="0"/>
      <w:marBottom w:val="0"/>
      <w:divBdr>
        <w:top w:val="none" w:sz="0" w:space="0" w:color="auto"/>
        <w:left w:val="none" w:sz="0" w:space="0" w:color="auto"/>
        <w:bottom w:val="none" w:sz="0" w:space="0" w:color="auto"/>
        <w:right w:val="none" w:sz="0" w:space="0" w:color="auto"/>
      </w:divBdr>
    </w:div>
    <w:div w:id="552695196">
      <w:bodyDiv w:val="1"/>
      <w:marLeft w:val="0"/>
      <w:marRight w:val="0"/>
      <w:marTop w:val="0"/>
      <w:marBottom w:val="0"/>
      <w:divBdr>
        <w:top w:val="none" w:sz="0" w:space="0" w:color="auto"/>
        <w:left w:val="none" w:sz="0" w:space="0" w:color="auto"/>
        <w:bottom w:val="none" w:sz="0" w:space="0" w:color="auto"/>
        <w:right w:val="none" w:sz="0" w:space="0" w:color="auto"/>
      </w:divBdr>
    </w:div>
    <w:div w:id="559630975">
      <w:bodyDiv w:val="1"/>
      <w:marLeft w:val="0"/>
      <w:marRight w:val="0"/>
      <w:marTop w:val="0"/>
      <w:marBottom w:val="0"/>
      <w:divBdr>
        <w:top w:val="none" w:sz="0" w:space="0" w:color="auto"/>
        <w:left w:val="none" w:sz="0" w:space="0" w:color="auto"/>
        <w:bottom w:val="none" w:sz="0" w:space="0" w:color="auto"/>
        <w:right w:val="none" w:sz="0" w:space="0" w:color="auto"/>
      </w:divBdr>
    </w:div>
    <w:div w:id="572084791">
      <w:bodyDiv w:val="1"/>
      <w:marLeft w:val="0"/>
      <w:marRight w:val="0"/>
      <w:marTop w:val="0"/>
      <w:marBottom w:val="0"/>
      <w:divBdr>
        <w:top w:val="none" w:sz="0" w:space="0" w:color="auto"/>
        <w:left w:val="none" w:sz="0" w:space="0" w:color="auto"/>
        <w:bottom w:val="none" w:sz="0" w:space="0" w:color="auto"/>
        <w:right w:val="none" w:sz="0" w:space="0" w:color="auto"/>
      </w:divBdr>
    </w:div>
    <w:div w:id="593783626">
      <w:bodyDiv w:val="1"/>
      <w:marLeft w:val="0"/>
      <w:marRight w:val="0"/>
      <w:marTop w:val="0"/>
      <w:marBottom w:val="0"/>
      <w:divBdr>
        <w:top w:val="none" w:sz="0" w:space="0" w:color="auto"/>
        <w:left w:val="none" w:sz="0" w:space="0" w:color="auto"/>
        <w:bottom w:val="none" w:sz="0" w:space="0" w:color="auto"/>
        <w:right w:val="none" w:sz="0" w:space="0" w:color="auto"/>
      </w:divBdr>
    </w:div>
    <w:div w:id="610816981">
      <w:bodyDiv w:val="1"/>
      <w:marLeft w:val="0"/>
      <w:marRight w:val="0"/>
      <w:marTop w:val="0"/>
      <w:marBottom w:val="0"/>
      <w:divBdr>
        <w:top w:val="none" w:sz="0" w:space="0" w:color="auto"/>
        <w:left w:val="none" w:sz="0" w:space="0" w:color="auto"/>
        <w:bottom w:val="none" w:sz="0" w:space="0" w:color="auto"/>
        <w:right w:val="none" w:sz="0" w:space="0" w:color="auto"/>
      </w:divBdr>
    </w:div>
    <w:div w:id="621420977">
      <w:bodyDiv w:val="1"/>
      <w:marLeft w:val="0"/>
      <w:marRight w:val="0"/>
      <w:marTop w:val="0"/>
      <w:marBottom w:val="0"/>
      <w:divBdr>
        <w:top w:val="none" w:sz="0" w:space="0" w:color="auto"/>
        <w:left w:val="none" w:sz="0" w:space="0" w:color="auto"/>
        <w:bottom w:val="none" w:sz="0" w:space="0" w:color="auto"/>
        <w:right w:val="none" w:sz="0" w:space="0" w:color="auto"/>
      </w:divBdr>
    </w:div>
    <w:div w:id="624772921">
      <w:bodyDiv w:val="1"/>
      <w:marLeft w:val="0"/>
      <w:marRight w:val="0"/>
      <w:marTop w:val="0"/>
      <w:marBottom w:val="0"/>
      <w:divBdr>
        <w:top w:val="none" w:sz="0" w:space="0" w:color="auto"/>
        <w:left w:val="none" w:sz="0" w:space="0" w:color="auto"/>
        <w:bottom w:val="none" w:sz="0" w:space="0" w:color="auto"/>
        <w:right w:val="none" w:sz="0" w:space="0" w:color="auto"/>
      </w:divBdr>
    </w:div>
    <w:div w:id="641622182">
      <w:bodyDiv w:val="1"/>
      <w:marLeft w:val="0"/>
      <w:marRight w:val="0"/>
      <w:marTop w:val="0"/>
      <w:marBottom w:val="0"/>
      <w:divBdr>
        <w:top w:val="none" w:sz="0" w:space="0" w:color="auto"/>
        <w:left w:val="none" w:sz="0" w:space="0" w:color="auto"/>
        <w:bottom w:val="none" w:sz="0" w:space="0" w:color="auto"/>
        <w:right w:val="none" w:sz="0" w:space="0" w:color="auto"/>
      </w:divBdr>
    </w:div>
    <w:div w:id="647519052">
      <w:bodyDiv w:val="1"/>
      <w:marLeft w:val="0"/>
      <w:marRight w:val="0"/>
      <w:marTop w:val="0"/>
      <w:marBottom w:val="0"/>
      <w:divBdr>
        <w:top w:val="none" w:sz="0" w:space="0" w:color="auto"/>
        <w:left w:val="none" w:sz="0" w:space="0" w:color="auto"/>
        <w:bottom w:val="none" w:sz="0" w:space="0" w:color="auto"/>
        <w:right w:val="none" w:sz="0" w:space="0" w:color="auto"/>
      </w:divBdr>
    </w:div>
    <w:div w:id="657996966">
      <w:bodyDiv w:val="1"/>
      <w:marLeft w:val="0"/>
      <w:marRight w:val="0"/>
      <w:marTop w:val="0"/>
      <w:marBottom w:val="0"/>
      <w:divBdr>
        <w:top w:val="none" w:sz="0" w:space="0" w:color="auto"/>
        <w:left w:val="none" w:sz="0" w:space="0" w:color="auto"/>
        <w:bottom w:val="none" w:sz="0" w:space="0" w:color="auto"/>
        <w:right w:val="none" w:sz="0" w:space="0" w:color="auto"/>
      </w:divBdr>
    </w:div>
    <w:div w:id="668020001">
      <w:bodyDiv w:val="1"/>
      <w:marLeft w:val="0"/>
      <w:marRight w:val="0"/>
      <w:marTop w:val="0"/>
      <w:marBottom w:val="0"/>
      <w:divBdr>
        <w:top w:val="none" w:sz="0" w:space="0" w:color="auto"/>
        <w:left w:val="none" w:sz="0" w:space="0" w:color="auto"/>
        <w:bottom w:val="none" w:sz="0" w:space="0" w:color="auto"/>
        <w:right w:val="none" w:sz="0" w:space="0" w:color="auto"/>
      </w:divBdr>
    </w:div>
    <w:div w:id="668676867">
      <w:bodyDiv w:val="1"/>
      <w:marLeft w:val="0"/>
      <w:marRight w:val="0"/>
      <w:marTop w:val="0"/>
      <w:marBottom w:val="0"/>
      <w:divBdr>
        <w:top w:val="none" w:sz="0" w:space="0" w:color="auto"/>
        <w:left w:val="none" w:sz="0" w:space="0" w:color="auto"/>
        <w:bottom w:val="none" w:sz="0" w:space="0" w:color="auto"/>
        <w:right w:val="none" w:sz="0" w:space="0" w:color="auto"/>
      </w:divBdr>
    </w:div>
    <w:div w:id="682367770">
      <w:bodyDiv w:val="1"/>
      <w:marLeft w:val="0"/>
      <w:marRight w:val="0"/>
      <w:marTop w:val="0"/>
      <w:marBottom w:val="0"/>
      <w:divBdr>
        <w:top w:val="none" w:sz="0" w:space="0" w:color="auto"/>
        <w:left w:val="none" w:sz="0" w:space="0" w:color="auto"/>
        <w:bottom w:val="none" w:sz="0" w:space="0" w:color="auto"/>
        <w:right w:val="none" w:sz="0" w:space="0" w:color="auto"/>
      </w:divBdr>
    </w:div>
    <w:div w:id="692539750">
      <w:bodyDiv w:val="1"/>
      <w:marLeft w:val="0"/>
      <w:marRight w:val="0"/>
      <w:marTop w:val="0"/>
      <w:marBottom w:val="0"/>
      <w:divBdr>
        <w:top w:val="none" w:sz="0" w:space="0" w:color="auto"/>
        <w:left w:val="none" w:sz="0" w:space="0" w:color="auto"/>
        <w:bottom w:val="none" w:sz="0" w:space="0" w:color="auto"/>
        <w:right w:val="none" w:sz="0" w:space="0" w:color="auto"/>
      </w:divBdr>
    </w:div>
    <w:div w:id="700278804">
      <w:bodyDiv w:val="1"/>
      <w:marLeft w:val="0"/>
      <w:marRight w:val="0"/>
      <w:marTop w:val="0"/>
      <w:marBottom w:val="0"/>
      <w:divBdr>
        <w:top w:val="none" w:sz="0" w:space="0" w:color="auto"/>
        <w:left w:val="none" w:sz="0" w:space="0" w:color="auto"/>
        <w:bottom w:val="none" w:sz="0" w:space="0" w:color="auto"/>
        <w:right w:val="none" w:sz="0" w:space="0" w:color="auto"/>
      </w:divBdr>
    </w:div>
    <w:div w:id="700784225">
      <w:bodyDiv w:val="1"/>
      <w:marLeft w:val="0"/>
      <w:marRight w:val="0"/>
      <w:marTop w:val="0"/>
      <w:marBottom w:val="0"/>
      <w:divBdr>
        <w:top w:val="none" w:sz="0" w:space="0" w:color="auto"/>
        <w:left w:val="none" w:sz="0" w:space="0" w:color="auto"/>
        <w:bottom w:val="none" w:sz="0" w:space="0" w:color="auto"/>
        <w:right w:val="none" w:sz="0" w:space="0" w:color="auto"/>
      </w:divBdr>
    </w:div>
    <w:div w:id="711803950">
      <w:bodyDiv w:val="1"/>
      <w:marLeft w:val="0"/>
      <w:marRight w:val="0"/>
      <w:marTop w:val="0"/>
      <w:marBottom w:val="0"/>
      <w:divBdr>
        <w:top w:val="none" w:sz="0" w:space="0" w:color="auto"/>
        <w:left w:val="none" w:sz="0" w:space="0" w:color="auto"/>
        <w:bottom w:val="none" w:sz="0" w:space="0" w:color="auto"/>
        <w:right w:val="none" w:sz="0" w:space="0" w:color="auto"/>
      </w:divBdr>
    </w:div>
    <w:div w:id="715129847">
      <w:bodyDiv w:val="1"/>
      <w:marLeft w:val="0"/>
      <w:marRight w:val="0"/>
      <w:marTop w:val="0"/>
      <w:marBottom w:val="0"/>
      <w:divBdr>
        <w:top w:val="none" w:sz="0" w:space="0" w:color="auto"/>
        <w:left w:val="none" w:sz="0" w:space="0" w:color="auto"/>
        <w:bottom w:val="none" w:sz="0" w:space="0" w:color="auto"/>
        <w:right w:val="none" w:sz="0" w:space="0" w:color="auto"/>
      </w:divBdr>
    </w:div>
    <w:div w:id="716205864">
      <w:bodyDiv w:val="1"/>
      <w:marLeft w:val="0"/>
      <w:marRight w:val="0"/>
      <w:marTop w:val="0"/>
      <w:marBottom w:val="0"/>
      <w:divBdr>
        <w:top w:val="none" w:sz="0" w:space="0" w:color="auto"/>
        <w:left w:val="none" w:sz="0" w:space="0" w:color="auto"/>
        <w:bottom w:val="none" w:sz="0" w:space="0" w:color="auto"/>
        <w:right w:val="none" w:sz="0" w:space="0" w:color="auto"/>
      </w:divBdr>
    </w:div>
    <w:div w:id="722405910">
      <w:bodyDiv w:val="1"/>
      <w:marLeft w:val="0"/>
      <w:marRight w:val="0"/>
      <w:marTop w:val="0"/>
      <w:marBottom w:val="0"/>
      <w:divBdr>
        <w:top w:val="none" w:sz="0" w:space="0" w:color="auto"/>
        <w:left w:val="none" w:sz="0" w:space="0" w:color="auto"/>
        <w:bottom w:val="none" w:sz="0" w:space="0" w:color="auto"/>
        <w:right w:val="none" w:sz="0" w:space="0" w:color="auto"/>
      </w:divBdr>
    </w:div>
    <w:div w:id="736785699">
      <w:bodyDiv w:val="1"/>
      <w:marLeft w:val="0"/>
      <w:marRight w:val="0"/>
      <w:marTop w:val="0"/>
      <w:marBottom w:val="0"/>
      <w:divBdr>
        <w:top w:val="none" w:sz="0" w:space="0" w:color="auto"/>
        <w:left w:val="none" w:sz="0" w:space="0" w:color="auto"/>
        <w:bottom w:val="none" w:sz="0" w:space="0" w:color="auto"/>
        <w:right w:val="none" w:sz="0" w:space="0" w:color="auto"/>
      </w:divBdr>
    </w:div>
    <w:div w:id="743768822">
      <w:bodyDiv w:val="1"/>
      <w:marLeft w:val="0"/>
      <w:marRight w:val="0"/>
      <w:marTop w:val="0"/>
      <w:marBottom w:val="0"/>
      <w:divBdr>
        <w:top w:val="none" w:sz="0" w:space="0" w:color="auto"/>
        <w:left w:val="none" w:sz="0" w:space="0" w:color="auto"/>
        <w:bottom w:val="none" w:sz="0" w:space="0" w:color="auto"/>
        <w:right w:val="none" w:sz="0" w:space="0" w:color="auto"/>
      </w:divBdr>
    </w:div>
    <w:div w:id="745034862">
      <w:bodyDiv w:val="1"/>
      <w:marLeft w:val="0"/>
      <w:marRight w:val="0"/>
      <w:marTop w:val="0"/>
      <w:marBottom w:val="0"/>
      <w:divBdr>
        <w:top w:val="none" w:sz="0" w:space="0" w:color="auto"/>
        <w:left w:val="none" w:sz="0" w:space="0" w:color="auto"/>
        <w:bottom w:val="none" w:sz="0" w:space="0" w:color="auto"/>
        <w:right w:val="none" w:sz="0" w:space="0" w:color="auto"/>
      </w:divBdr>
    </w:div>
    <w:div w:id="745492238">
      <w:bodyDiv w:val="1"/>
      <w:marLeft w:val="0"/>
      <w:marRight w:val="0"/>
      <w:marTop w:val="0"/>
      <w:marBottom w:val="0"/>
      <w:divBdr>
        <w:top w:val="none" w:sz="0" w:space="0" w:color="auto"/>
        <w:left w:val="none" w:sz="0" w:space="0" w:color="auto"/>
        <w:bottom w:val="none" w:sz="0" w:space="0" w:color="auto"/>
        <w:right w:val="none" w:sz="0" w:space="0" w:color="auto"/>
      </w:divBdr>
    </w:div>
    <w:div w:id="746655866">
      <w:bodyDiv w:val="1"/>
      <w:marLeft w:val="0"/>
      <w:marRight w:val="0"/>
      <w:marTop w:val="0"/>
      <w:marBottom w:val="0"/>
      <w:divBdr>
        <w:top w:val="none" w:sz="0" w:space="0" w:color="auto"/>
        <w:left w:val="none" w:sz="0" w:space="0" w:color="auto"/>
        <w:bottom w:val="none" w:sz="0" w:space="0" w:color="auto"/>
        <w:right w:val="none" w:sz="0" w:space="0" w:color="auto"/>
      </w:divBdr>
    </w:div>
    <w:div w:id="756252189">
      <w:bodyDiv w:val="1"/>
      <w:marLeft w:val="0"/>
      <w:marRight w:val="0"/>
      <w:marTop w:val="0"/>
      <w:marBottom w:val="0"/>
      <w:divBdr>
        <w:top w:val="none" w:sz="0" w:space="0" w:color="auto"/>
        <w:left w:val="none" w:sz="0" w:space="0" w:color="auto"/>
        <w:bottom w:val="none" w:sz="0" w:space="0" w:color="auto"/>
        <w:right w:val="none" w:sz="0" w:space="0" w:color="auto"/>
      </w:divBdr>
    </w:div>
    <w:div w:id="764543547">
      <w:bodyDiv w:val="1"/>
      <w:marLeft w:val="0"/>
      <w:marRight w:val="0"/>
      <w:marTop w:val="0"/>
      <w:marBottom w:val="0"/>
      <w:divBdr>
        <w:top w:val="none" w:sz="0" w:space="0" w:color="auto"/>
        <w:left w:val="none" w:sz="0" w:space="0" w:color="auto"/>
        <w:bottom w:val="none" w:sz="0" w:space="0" w:color="auto"/>
        <w:right w:val="none" w:sz="0" w:space="0" w:color="auto"/>
      </w:divBdr>
    </w:div>
    <w:div w:id="790245949">
      <w:bodyDiv w:val="1"/>
      <w:marLeft w:val="0"/>
      <w:marRight w:val="0"/>
      <w:marTop w:val="0"/>
      <w:marBottom w:val="0"/>
      <w:divBdr>
        <w:top w:val="none" w:sz="0" w:space="0" w:color="auto"/>
        <w:left w:val="none" w:sz="0" w:space="0" w:color="auto"/>
        <w:bottom w:val="none" w:sz="0" w:space="0" w:color="auto"/>
        <w:right w:val="none" w:sz="0" w:space="0" w:color="auto"/>
      </w:divBdr>
    </w:div>
    <w:div w:id="791024648">
      <w:bodyDiv w:val="1"/>
      <w:marLeft w:val="0"/>
      <w:marRight w:val="0"/>
      <w:marTop w:val="0"/>
      <w:marBottom w:val="0"/>
      <w:divBdr>
        <w:top w:val="none" w:sz="0" w:space="0" w:color="auto"/>
        <w:left w:val="none" w:sz="0" w:space="0" w:color="auto"/>
        <w:bottom w:val="none" w:sz="0" w:space="0" w:color="auto"/>
        <w:right w:val="none" w:sz="0" w:space="0" w:color="auto"/>
      </w:divBdr>
    </w:div>
    <w:div w:id="793445758">
      <w:bodyDiv w:val="1"/>
      <w:marLeft w:val="0"/>
      <w:marRight w:val="0"/>
      <w:marTop w:val="0"/>
      <w:marBottom w:val="0"/>
      <w:divBdr>
        <w:top w:val="none" w:sz="0" w:space="0" w:color="auto"/>
        <w:left w:val="none" w:sz="0" w:space="0" w:color="auto"/>
        <w:bottom w:val="none" w:sz="0" w:space="0" w:color="auto"/>
        <w:right w:val="none" w:sz="0" w:space="0" w:color="auto"/>
      </w:divBdr>
    </w:div>
    <w:div w:id="816845080">
      <w:bodyDiv w:val="1"/>
      <w:marLeft w:val="0"/>
      <w:marRight w:val="0"/>
      <w:marTop w:val="0"/>
      <w:marBottom w:val="0"/>
      <w:divBdr>
        <w:top w:val="none" w:sz="0" w:space="0" w:color="auto"/>
        <w:left w:val="none" w:sz="0" w:space="0" w:color="auto"/>
        <w:bottom w:val="none" w:sz="0" w:space="0" w:color="auto"/>
        <w:right w:val="none" w:sz="0" w:space="0" w:color="auto"/>
      </w:divBdr>
    </w:div>
    <w:div w:id="843595325">
      <w:bodyDiv w:val="1"/>
      <w:marLeft w:val="0"/>
      <w:marRight w:val="0"/>
      <w:marTop w:val="0"/>
      <w:marBottom w:val="0"/>
      <w:divBdr>
        <w:top w:val="none" w:sz="0" w:space="0" w:color="auto"/>
        <w:left w:val="none" w:sz="0" w:space="0" w:color="auto"/>
        <w:bottom w:val="none" w:sz="0" w:space="0" w:color="auto"/>
        <w:right w:val="none" w:sz="0" w:space="0" w:color="auto"/>
      </w:divBdr>
    </w:div>
    <w:div w:id="844636900">
      <w:bodyDiv w:val="1"/>
      <w:marLeft w:val="0"/>
      <w:marRight w:val="0"/>
      <w:marTop w:val="0"/>
      <w:marBottom w:val="0"/>
      <w:divBdr>
        <w:top w:val="none" w:sz="0" w:space="0" w:color="auto"/>
        <w:left w:val="none" w:sz="0" w:space="0" w:color="auto"/>
        <w:bottom w:val="none" w:sz="0" w:space="0" w:color="auto"/>
        <w:right w:val="none" w:sz="0" w:space="0" w:color="auto"/>
      </w:divBdr>
    </w:div>
    <w:div w:id="863056846">
      <w:bodyDiv w:val="1"/>
      <w:marLeft w:val="0"/>
      <w:marRight w:val="0"/>
      <w:marTop w:val="0"/>
      <w:marBottom w:val="0"/>
      <w:divBdr>
        <w:top w:val="none" w:sz="0" w:space="0" w:color="auto"/>
        <w:left w:val="none" w:sz="0" w:space="0" w:color="auto"/>
        <w:bottom w:val="none" w:sz="0" w:space="0" w:color="auto"/>
        <w:right w:val="none" w:sz="0" w:space="0" w:color="auto"/>
      </w:divBdr>
    </w:div>
    <w:div w:id="865676975">
      <w:bodyDiv w:val="1"/>
      <w:marLeft w:val="0"/>
      <w:marRight w:val="0"/>
      <w:marTop w:val="0"/>
      <w:marBottom w:val="0"/>
      <w:divBdr>
        <w:top w:val="none" w:sz="0" w:space="0" w:color="auto"/>
        <w:left w:val="none" w:sz="0" w:space="0" w:color="auto"/>
        <w:bottom w:val="none" w:sz="0" w:space="0" w:color="auto"/>
        <w:right w:val="none" w:sz="0" w:space="0" w:color="auto"/>
      </w:divBdr>
    </w:div>
    <w:div w:id="889266862">
      <w:bodyDiv w:val="1"/>
      <w:marLeft w:val="0"/>
      <w:marRight w:val="0"/>
      <w:marTop w:val="0"/>
      <w:marBottom w:val="0"/>
      <w:divBdr>
        <w:top w:val="none" w:sz="0" w:space="0" w:color="auto"/>
        <w:left w:val="none" w:sz="0" w:space="0" w:color="auto"/>
        <w:bottom w:val="none" w:sz="0" w:space="0" w:color="auto"/>
        <w:right w:val="none" w:sz="0" w:space="0" w:color="auto"/>
      </w:divBdr>
    </w:div>
    <w:div w:id="926353416">
      <w:bodyDiv w:val="1"/>
      <w:marLeft w:val="0"/>
      <w:marRight w:val="0"/>
      <w:marTop w:val="0"/>
      <w:marBottom w:val="0"/>
      <w:divBdr>
        <w:top w:val="none" w:sz="0" w:space="0" w:color="auto"/>
        <w:left w:val="none" w:sz="0" w:space="0" w:color="auto"/>
        <w:bottom w:val="none" w:sz="0" w:space="0" w:color="auto"/>
        <w:right w:val="none" w:sz="0" w:space="0" w:color="auto"/>
      </w:divBdr>
    </w:div>
    <w:div w:id="939490743">
      <w:bodyDiv w:val="1"/>
      <w:marLeft w:val="0"/>
      <w:marRight w:val="0"/>
      <w:marTop w:val="0"/>
      <w:marBottom w:val="0"/>
      <w:divBdr>
        <w:top w:val="none" w:sz="0" w:space="0" w:color="auto"/>
        <w:left w:val="none" w:sz="0" w:space="0" w:color="auto"/>
        <w:bottom w:val="none" w:sz="0" w:space="0" w:color="auto"/>
        <w:right w:val="none" w:sz="0" w:space="0" w:color="auto"/>
      </w:divBdr>
    </w:div>
    <w:div w:id="949363918">
      <w:bodyDiv w:val="1"/>
      <w:marLeft w:val="0"/>
      <w:marRight w:val="0"/>
      <w:marTop w:val="0"/>
      <w:marBottom w:val="0"/>
      <w:divBdr>
        <w:top w:val="none" w:sz="0" w:space="0" w:color="auto"/>
        <w:left w:val="none" w:sz="0" w:space="0" w:color="auto"/>
        <w:bottom w:val="none" w:sz="0" w:space="0" w:color="auto"/>
        <w:right w:val="none" w:sz="0" w:space="0" w:color="auto"/>
      </w:divBdr>
    </w:div>
    <w:div w:id="952400746">
      <w:bodyDiv w:val="1"/>
      <w:marLeft w:val="0"/>
      <w:marRight w:val="0"/>
      <w:marTop w:val="0"/>
      <w:marBottom w:val="0"/>
      <w:divBdr>
        <w:top w:val="none" w:sz="0" w:space="0" w:color="auto"/>
        <w:left w:val="none" w:sz="0" w:space="0" w:color="auto"/>
        <w:bottom w:val="none" w:sz="0" w:space="0" w:color="auto"/>
        <w:right w:val="none" w:sz="0" w:space="0" w:color="auto"/>
      </w:divBdr>
    </w:div>
    <w:div w:id="954101006">
      <w:bodyDiv w:val="1"/>
      <w:marLeft w:val="0"/>
      <w:marRight w:val="0"/>
      <w:marTop w:val="0"/>
      <w:marBottom w:val="0"/>
      <w:divBdr>
        <w:top w:val="none" w:sz="0" w:space="0" w:color="auto"/>
        <w:left w:val="none" w:sz="0" w:space="0" w:color="auto"/>
        <w:bottom w:val="none" w:sz="0" w:space="0" w:color="auto"/>
        <w:right w:val="none" w:sz="0" w:space="0" w:color="auto"/>
      </w:divBdr>
    </w:div>
    <w:div w:id="969938708">
      <w:bodyDiv w:val="1"/>
      <w:marLeft w:val="0"/>
      <w:marRight w:val="0"/>
      <w:marTop w:val="0"/>
      <w:marBottom w:val="0"/>
      <w:divBdr>
        <w:top w:val="none" w:sz="0" w:space="0" w:color="auto"/>
        <w:left w:val="none" w:sz="0" w:space="0" w:color="auto"/>
        <w:bottom w:val="none" w:sz="0" w:space="0" w:color="auto"/>
        <w:right w:val="none" w:sz="0" w:space="0" w:color="auto"/>
      </w:divBdr>
    </w:div>
    <w:div w:id="993527564">
      <w:bodyDiv w:val="1"/>
      <w:marLeft w:val="0"/>
      <w:marRight w:val="0"/>
      <w:marTop w:val="0"/>
      <w:marBottom w:val="0"/>
      <w:divBdr>
        <w:top w:val="none" w:sz="0" w:space="0" w:color="auto"/>
        <w:left w:val="none" w:sz="0" w:space="0" w:color="auto"/>
        <w:bottom w:val="none" w:sz="0" w:space="0" w:color="auto"/>
        <w:right w:val="none" w:sz="0" w:space="0" w:color="auto"/>
      </w:divBdr>
    </w:div>
    <w:div w:id="1007707179">
      <w:bodyDiv w:val="1"/>
      <w:marLeft w:val="0"/>
      <w:marRight w:val="0"/>
      <w:marTop w:val="0"/>
      <w:marBottom w:val="0"/>
      <w:divBdr>
        <w:top w:val="none" w:sz="0" w:space="0" w:color="auto"/>
        <w:left w:val="none" w:sz="0" w:space="0" w:color="auto"/>
        <w:bottom w:val="none" w:sz="0" w:space="0" w:color="auto"/>
        <w:right w:val="none" w:sz="0" w:space="0" w:color="auto"/>
      </w:divBdr>
    </w:div>
    <w:div w:id="1010988785">
      <w:bodyDiv w:val="1"/>
      <w:marLeft w:val="0"/>
      <w:marRight w:val="0"/>
      <w:marTop w:val="0"/>
      <w:marBottom w:val="0"/>
      <w:divBdr>
        <w:top w:val="none" w:sz="0" w:space="0" w:color="auto"/>
        <w:left w:val="none" w:sz="0" w:space="0" w:color="auto"/>
        <w:bottom w:val="none" w:sz="0" w:space="0" w:color="auto"/>
        <w:right w:val="none" w:sz="0" w:space="0" w:color="auto"/>
      </w:divBdr>
    </w:div>
    <w:div w:id="1012807028">
      <w:bodyDiv w:val="1"/>
      <w:marLeft w:val="0"/>
      <w:marRight w:val="0"/>
      <w:marTop w:val="0"/>
      <w:marBottom w:val="0"/>
      <w:divBdr>
        <w:top w:val="none" w:sz="0" w:space="0" w:color="auto"/>
        <w:left w:val="none" w:sz="0" w:space="0" w:color="auto"/>
        <w:bottom w:val="none" w:sz="0" w:space="0" w:color="auto"/>
        <w:right w:val="none" w:sz="0" w:space="0" w:color="auto"/>
      </w:divBdr>
    </w:div>
    <w:div w:id="1019889821">
      <w:bodyDiv w:val="1"/>
      <w:marLeft w:val="0"/>
      <w:marRight w:val="0"/>
      <w:marTop w:val="0"/>
      <w:marBottom w:val="0"/>
      <w:divBdr>
        <w:top w:val="none" w:sz="0" w:space="0" w:color="auto"/>
        <w:left w:val="none" w:sz="0" w:space="0" w:color="auto"/>
        <w:bottom w:val="none" w:sz="0" w:space="0" w:color="auto"/>
        <w:right w:val="none" w:sz="0" w:space="0" w:color="auto"/>
      </w:divBdr>
      <w:divsChild>
        <w:div w:id="128983474">
          <w:marLeft w:val="0"/>
          <w:marRight w:val="0"/>
          <w:marTop w:val="0"/>
          <w:marBottom w:val="0"/>
          <w:divBdr>
            <w:top w:val="none" w:sz="0" w:space="0" w:color="auto"/>
            <w:left w:val="none" w:sz="0" w:space="0" w:color="auto"/>
            <w:bottom w:val="none" w:sz="0" w:space="0" w:color="auto"/>
            <w:right w:val="none" w:sz="0" w:space="0" w:color="auto"/>
          </w:divBdr>
          <w:divsChild>
            <w:div w:id="391317077">
              <w:marLeft w:val="0"/>
              <w:marRight w:val="0"/>
              <w:marTop w:val="0"/>
              <w:marBottom w:val="0"/>
              <w:divBdr>
                <w:top w:val="none" w:sz="0" w:space="0" w:color="auto"/>
                <w:left w:val="none" w:sz="0" w:space="0" w:color="auto"/>
                <w:bottom w:val="none" w:sz="0" w:space="0" w:color="auto"/>
                <w:right w:val="none" w:sz="0" w:space="0" w:color="auto"/>
              </w:divBdr>
              <w:divsChild>
                <w:div w:id="1974826510">
                  <w:marLeft w:val="0"/>
                  <w:marRight w:val="0"/>
                  <w:marTop w:val="0"/>
                  <w:marBottom w:val="0"/>
                  <w:divBdr>
                    <w:top w:val="none" w:sz="0" w:space="0" w:color="auto"/>
                    <w:left w:val="none" w:sz="0" w:space="0" w:color="auto"/>
                    <w:bottom w:val="none" w:sz="0" w:space="0" w:color="auto"/>
                    <w:right w:val="none" w:sz="0" w:space="0" w:color="auto"/>
                  </w:divBdr>
                  <w:divsChild>
                    <w:div w:id="1075739056">
                      <w:marLeft w:val="0"/>
                      <w:marRight w:val="0"/>
                      <w:marTop w:val="0"/>
                      <w:marBottom w:val="0"/>
                      <w:divBdr>
                        <w:top w:val="none" w:sz="0" w:space="0" w:color="auto"/>
                        <w:left w:val="none" w:sz="0" w:space="0" w:color="auto"/>
                        <w:bottom w:val="none" w:sz="0" w:space="0" w:color="auto"/>
                        <w:right w:val="none" w:sz="0" w:space="0" w:color="auto"/>
                      </w:divBdr>
                      <w:divsChild>
                        <w:div w:id="514614344">
                          <w:marLeft w:val="-225"/>
                          <w:marRight w:val="-225"/>
                          <w:marTop w:val="0"/>
                          <w:marBottom w:val="0"/>
                          <w:divBdr>
                            <w:top w:val="none" w:sz="0" w:space="0" w:color="auto"/>
                            <w:left w:val="none" w:sz="0" w:space="0" w:color="auto"/>
                            <w:bottom w:val="none" w:sz="0" w:space="0" w:color="auto"/>
                            <w:right w:val="none" w:sz="0" w:space="0" w:color="auto"/>
                          </w:divBdr>
                          <w:divsChild>
                            <w:div w:id="6717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738621">
      <w:bodyDiv w:val="1"/>
      <w:marLeft w:val="0"/>
      <w:marRight w:val="0"/>
      <w:marTop w:val="0"/>
      <w:marBottom w:val="0"/>
      <w:divBdr>
        <w:top w:val="none" w:sz="0" w:space="0" w:color="auto"/>
        <w:left w:val="none" w:sz="0" w:space="0" w:color="auto"/>
        <w:bottom w:val="none" w:sz="0" w:space="0" w:color="auto"/>
        <w:right w:val="none" w:sz="0" w:space="0" w:color="auto"/>
      </w:divBdr>
    </w:div>
    <w:div w:id="1051269146">
      <w:bodyDiv w:val="1"/>
      <w:marLeft w:val="0"/>
      <w:marRight w:val="0"/>
      <w:marTop w:val="0"/>
      <w:marBottom w:val="0"/>
      <w:divBdr>
        <w:top w:val="none" w:sz="0" w:space="0" w:color="auto"/>
        <w:left w:val="none" w:sz="0" w:space="0" w:color="auto"/>
        <w:bottom w:val="none" w:sz="0" w:space="0" w:color="auto"/>
        <w:right w:val="none" w:sz="0" w:space="0" w:color="auto"/>
      </w:divBdr>
    </w:div>
    <w:div w:id="1056584168">
      <w:bodyDiv w:val="1"/>
      <w:marLeft w:val="0"/>
      <w:marRight w:val="0"/>
      <w:marTop w:val="0"/>
      <w:marBottom w:val="0"/>
      <w:divBdr>
        <w:top w:val="none" w:sz="0" w:space="0" w:color="auto"/>
        <w:left w:val="none" w:sz="0" w:space="0" w:color="auto"/>
        <w:bottom w:val="none" w:sz="0" w:space="0" w:color="auto"/>
        <w:right w:val="none" w:sz="0" w:space="0" w:color="auto"/>
      </w:divBdr>
    </w:div>
    <w:div w:id="1059552832">
      <w:bodyDiv w:val="1"/>
      <w:marLeft w:val="0"/>
      <w:marRight w:val="0"/>
      <w:marTop w:val="0"/>
      <w:marBottom w:val="0"/>
      <w:divBdr>
        <w:top w:val="none" w:sz="0" w:space="0" w:color="auto"/>
        <w:left w:val="none" w:sz="0" w:space="0" w:color="auto"/>
        <w:bottom w:val="none" w:sz="0" w:space="0" w:color="auto"/>
        <w:right w:val="none" w:sz="0" w:space="0" w:color="auto"/>
      </w:divBdr>
    </w:div>
    <w:div w:id="1065448841">
      <w:bodyDiv w:val="1"/>
      <w:marLeft w:val="0"/>
      <w:marRight w:val="0"/>
      <w:marTop w:val="0"/>
      <w:marBottom w:val="0"/>
      <w:divBdr>
        <w:top w:val="none" w:sz="0" w:space="0" w:color="auto"/>
        <w:left w:val="none" w:sz="0" w:space="0" w:color="auto"/>
        <w:bottom w:val="none" w:sz="0" w:space="0" w:color="auto"/>
        <w:right w:val="none" w:sz="0" w:space="0" w:color="auto"/>
      </w:divBdr>
    </w:div>
    <w:div w:id="1072584874">
      <w:bodyDiv w:val="1"/>
      <w:marLeft w:val="0"/>
      <w:marRight w:val="0"/>
      <w:marTop w:val="0"/>
      <w:marBottom w:val="0"/>
      <w:divBdr>
        <w:top w:val="none" w:sz="0" w:space="0" w:color="auto"/>
        <w:left w:val="none" w:sz="0" w:space="0" w:color="auto"/>
        <w:bottom w:val="none" w:sz="0" w:space="0" w:color="auto"/>
        <w:right w:val="none" w:sz="0" w:space="0" w:color="auto"/>
      </w:divBdr>
    </w:div>
    <w:div w:id="1073311068">
      <w:bodyDiv w:val="1"/>
      <w:marLeft w:val="0"/>
      <w:marRight w:val="0"/>
      <w:marTop w:val="0"/>
      <w:marBottom w:val="0"/>
      <w:divBdr>
        <w:top w:val="none" w:sz="0" w:space="0" w:color="auto"/>
        <w:left w:val="none" w:sz="0" w:space="0" w:color="auto"/>
        <w:bottom w:val="none" w:sz="0" w:space="0" w:color="auto"/>
        <w:right w:val="none" w:sz="0" w:space="0" w:color="auto"/>
      </w:divBdr>
    </w:div>
    <w:div w:id="1080099530">
      <w:bodyDiv w:val="1"/>
      <w:marLeft w:val="0"/>
      <w:marRight w:val="0"/>
      <w:marTop w:val="0"/>
      <w:marBottom w:val="0"/>
      <w:divBdr>
        <w:top w:val="none" w:sz="0" w:space="0" w:color="auto"/>
        <w:left w:val="none" w:sz="0" w:space="0" w:color="auto"/>
        <w:bottom w:val="none" w:sz="0" w:space="0" w:color="auto"/>
        <w:right w:val="none" w:sz="0" w:space="0" w:color="auto"/>
      </w:divBdr>
    </w:div>
    <w:div w:id="1080560519">
      <w:bodyDiv w:val="1"/>
      <w:marLeft w:val="0"/>
      <w:marRight w:val="0"/>
      <w:marTop w:val="0"/>
      <w:marBottom w:val="0"/>
      <w:divBdr>
        <w:top w:val="none" w:sz="0" w:space="0" w:color="auto"/>
        <w:left w:val="none" w:sz="0" w:space="0" w:color="auto"/>
        <w:bottom w:val="none" w:sz="0" w:space="0" w:color="auto"/>
        <w:right w:val="none" w:sz="0" w:space="0" w:color="auto"/>
      </w:divBdr>
    </w:div>
    <w:div w:id="1101532464">
      <w:bodyDiv w:val="1"/>
      <w:marLeft w:val="0"/>
      <w:marRight w:val="0"/>
      <w:marTop w:val="0"/>
      <w:marBottom w:val="0"/>
      <w:divBdr>
        <w:top w:val="none" w:sz="0" w:space="0" w:color="auto"/>
        <w:left w:val="none" w:sz="0" w:space="0" w:color="auto"/>
        <w:bottom w:val="none" w:sz="0" w:space="0" w:color="auto"/>
        <w:right w:val="none" w:sz="0" w:space="0" w:color="auto"/>
      </w:divBdr>
    </w:div>
    <w:div w:id="1115978715">
      <w:bodyDiv w:val="1"/>
      <w:marLeft w:val="0"/>
      <w:marRight w:val="0"/>
      <w:marTop w:val="0"/>
      <w:marBottom w:val="0"/>
      <w:divBdr>
        <w:top w:val="none" w:sz="0" w:space="0" w:color="auto"/>
        <w:left w:val="none" w:sz="0" w:space="0" w:color="auto"/>
        <w:bottom w:val="none" w:sz="0" w:space="0" w:color="auto"/>
        <w:right w:val="none" w:sz="0" w:space="0" w:color="auto"/>
      </w:divBdr>
    </w:div>
    <w:div w:id="1128623506">
      <w:bodyDiv w:val="1"/>
      <w:marLeft w:val="0"/>
      <w:marRight w:val="0"/>
      <w:marTop w:val="0"/>
      <w:marBottom w:val="0"/>
      <w:divBdr>
        <w:top w:val="none" w:sz="0" w:space="0" w:color="auto"/>
        <w:left w:val="none" w:sz="0" w:space="0" w:color="auto"/>
        <w:bottom w:val="none" w:sz="0" w:space="0" w:color="auto"/>
        <w:right w:val="none" w:sz="0" w:space="0" w:color="auto"/>
      </w:divBdr>
      <w:divsChild>
        <w:div w:id="1655064055">
          <w:marLeft w:val="187"/>
          <w:marRight w:val="0"/>
          <w:marTop w:val="0"/>
          <w:marBottom w:val="0"/>
          <w:divBdr>
            <w:top w:val="none" w:sz="0" w:space="0" w:color="auto"/>
            <w:left w:val="none" w:sz="0" w:space="0" w:color="auto"/>
            <w:bottom w:val="none" w:sz="0" w:space="0" w:color="auto"/>
            <w:right w:val="none" w:sz="0" w:space="0" w:color="auto"/>
          </w:divBdr>
        </w:div>
      </w:divsChild>
    </w:div>
    <w:div w:id="1146315385">
      <w:bodyDiv w:val="1"/>
      <w:marLeft w:val="0"/>
      <w:marRight w:val="0"/>
      <w:marTop w:val="0"/>
      <w:marBottom w:val="0"/>
      <w:divBdr>
        <w:top w:val="none" w:sz="0" w:space="0" w:color="auto"/>
        <w:left w:val="none" w:sz="0" w:space="0" w:color="auto"/>
        <w:bottom w:val="none" w:sz="0" w:space="0" w:color="auto"/>
        <w:right w:val="none" w:sz="0" w:space="0" w:color="auto"/>
      </w:divBdr>
    </w:div>
    <w:div w:id="1166631672">
      <w:bodyDiv w:val="1"/>
      <w:marLeft w:val="0"/>
      <w:marRight w:val="0"/>
      <w:marTop w:val="0"/>
      <w:marBottom w:val="0"/>
      <w:divBdr>
        <w:top w:val="none" w:sz="0" w:space="0" w:color="auto"/>
        <w:left w:val="none" w:sz="0" w:space="0" w:color="auto"/>
        <w:bottom w:val="none" w:sz="0" w:space="0" w:color="auto"/>
        <w:right w:val="none" w:sz="0" w:space="0" w:color="auto"/>
      </w:divBdr>
    </w:div>
    <w:div w:id="1192450328">
      <w:bodyDiv w:val="1"/>
      <w:marLeft w:val="0"/>
      <w:marRight w:val="0"/>
      <w:marTop w:val="0"/>
      <w:marBottom w:val="0"/>
      <w:divBdr>
        <w:top w:val="none" w:sz="0" w:space="0" w:color="auto"/>
        <w:left w:val="none" w:sz="0" w:space="0" w:color="auto"/>
        <w:bottom w:val="none" w:sz="0" w:space="0" w:color="auto"/>
        <w:right w:val="none" w:sz="0" w:space="0" w:color="auto"/>
      </w:divBdr>
    </w:div>
    <w:div w:id="1209610371">
      <w:bodyDiv w:val="1"/>
      <w:marLeft w:val="0"/>
      <w:marRight w:val="0"/>
      <w:marTop w:val="0"/>
      <w:marBottom w:val="0"/>
      <w:divBdr>
        <w:top w:val="none" w:sz="0" w:space="0" w:color="auto"/>
        <w:left w:val="none" w:sz="0" w:space="0" w:color="auto"/>
        <w:bottom w:val="none" w:sz="0" w:space="0" w:color="auto"/>
        <w:right w:val="none" w:sz="0" w:space="0" w:color="auto"/>
      </w:divBdr>
    </w:div>
    <w:div w:id="1266383590">
      <w:bodyDiv w:val="1"/>
      <w:marLeft w:val="0"/>
      <w:marRight w:val="0"/>
      <w:marTop w:val="0"/>
      <w:marBottom w:val="0"/>
      <w:divBdr>
        <w:top w:val="none" w:sz="0" w:space="0" w:color="auto"/>
        <w:left w:val="none" w:sz="0" w:space="0" w:color="auto"/>
        <w:bottom w:val="none" w:sz="0" w:space="0" w:color="auto"/>
        <w:right w:val="none" w:sz="0" w:space="0" w:color="auto"/>
      </w:divBdr>
    </w:div>
    <w:div w:id="1267888242">
      <w:bodyDiv w:val="1"/>
      <w:marLeft w:val="0"/>
      <w:marRight w:val="0"/>
      <w:marTop w:val="0"/>
      <w:marBottom w:val="0"/>
      <w:divBdr>
        <w:top w:val="none" w:sz="0" w:space="0" w:color="auto"/>
        <w:left w:val="none" w:sz="0" w:space="0" w:color="auto"/>
        <w:bottom w:val="none" w:sz="0" w:space="0" w:color="auto"/>
        <w:right w:val="none" w:sz="0" w:space="0" w:color="auto"/>
      </w:divBdr>
    </w:div>
    <w:div w:id="1271081631">
      <w:bodyDiv w:val="1"/>
      <w:marLeft w:val="0"/>
      <w:marRight w:val="0"/>
      <w:marTop w:val="0"/>
      <w:marBottom w:val="0"/>
      <w:divBdr>
        <w:top w:val="none" w:sz="0" w:space="0" w:color="auto"/>
        <w:left w:val="none" w:sz="0" w:space="0" w:color="auto"/>
        <w:bottom w:val="none" w:sz="0" w:space="0" w:color="auto"/>
        <w:right w:val="none" w:sz="0" w:space="0" w:color="auto"/>
      </w:divBdr>
    </w:div>
    <w:div w:id="1283800416">
      <w:bodyDiv w:val="1"/>
      <w:marLeft w:val="0"/>
      <w:marRight w:val="0"/>
      <w:marTop w:val="0"/>
      <w:marBottom w:val="0"/>
      <w:divBdr>
        <w:top w:val="none" w:sz="0" w:space="0" w:color="auto"/>
        <w:left w:val="none" w:sz="0" w:space="0" w:color="auto"/>
        <w:bottom w:val="none" w:sz="0" w:space="0" w:color="auto"/>
        <w:right w:val="none" w:sz="0" w:space="0" w:color="auto"/>
      </w:divBdr>
    </w:div>
    <w:div w:id="1291285968">
      <w:bodyDiv w:val="1"/>
      <w:marLeft w:val="0"/>
      <w:marRight w:val="0"/>
      <w:marTop w:val="0"/>
      <w:marBottom w:val="0"/>
      <w:divBdr>
        <w:top w:val="none" w:sz="0" w:space="0" w:color="auto"/>
        <w:left w:val="none" w:sz="0" w:space="0" w:color="auto"/>
        <w:bottom w:val="none" w:sz="0" w:space="0" w:color="auto"/>
        <w:right w:val="none" w:sz="0" w:space="0" w:color="auto"/>
      </w:divBdr>
    </w:div>
    <w:div w:id="1306199116">
      <w:bodyDiv w:val="1"/>
      <w:marLeft w:val="0"/>
      <w:marRight w:val="0"/>
      <w:marTop w:val="0"/>
      <w:marBottom w:val="0"/>
      <w:divBdr>
        <w:top w:val="none" w:sz="0" w:space="0" w:color="auto"/>
        <w:left w:val="none" w:sz="0" w:space="0" w:color="auto"/>
        <w:bottom w:val="none" w:sz="0" w:space="0" w:color="auto"/>
        <w:right w:val="none" w:sz="0" w:space="0" w:color="auto"/>
      </w:divBdr>
    </w:div>
    <w:div w:id="1307975114">
      <w:bodyDiv w:val="1"/>
      <w:marLeft w:val="0"/>
      <w:marRight w:val="0"/>
      <w:marTop w:val="0"/>
      <w:marBottom w:val="0"/>
      <w:divBdr>
        <w:top w:val="none" w:sz="0" w:space="0" w:color="auto"/>
        <w:left w:val="none" w:sz="0" w:space="0" w:color="auto"/>
        <w:bottom w:val="none" w:sz="0" w:space="0" w:color="auto"/>
        <w:right w:val="none" w:sz="0" w:space="0" w:color="auto"/>
      </w:divBdr>
    </w:div>
    <w:div w:id="1312099704">
      <w:bodyDiv w:val="1"/>
      <w:marLeft w:val="0"/>
      <w:marRight w:val="0"/>
      <w:marTop w:val="0"/>
      <w:marBottom w:val="0"/>
      <w:divBdr>
        <w:top w:val="none" w:sz="0" w:space="0" w:color="auto"/>
        <w:left w:val="none" w:sz="0" w:space="0" w:color="auto"/>
        <w:bottom w:val="none" w:sz="0" w:space="0" w:color="auto"/>
        <w:right w:val="none" w:sz="0" w:space="0" w:color="auto"/>
      </w:divBdr>
    </w:div>
    <w:div w:id="1342708518">
      <w:bodyDiv w:val="1"/>
      <w:marLeft w:val="0"/>
      <w:marRight w:val="0"/>
      <w:marTop w:val="0"/>
      <w:marBottom w:val="0"/>
      <w:divBdr>
        <w:top w:val="none" w:sz="0" w:space="0" w:color="auto"/>
        <w:left w:val="none" w:sz="0" w:space="0" w:color="auto"/>
        <w:bottom w:val="none" w:sz="0" w:space="0" w:color="auto"/>
        <w:right w:val="none" w:sz="0" w:space="0" w:color="auto"/>
      </w:divBdr>
    </w:div>
    <w:div w:id="1347485725">
      <w:bodyDiv w:val="1"/>
      <w:marLeft w:val="0"/>
      <w:marRight w:val="0"/>
      <w:marTop w:val="0"/>
      <w:marBottom w:val="0"/>
      <w:divBdr>
        <w:top w:val="none" w:sz="0" w:space="0" w:color="auto"/>
        <w:left w:val="none" w:sz="0" w:space="0" w:color="auto"/>
        <w:bottom w:val="none" w:sz="0" w:space="0" w:color="auto"/>
        <w:right w:val="none" w:sz="0" w:space="0" w:color="auto"/>
      </w:divBdr>
    </w:div>
    <w:div w:id="1352029361">
      <w:bodyDiv w:val="1"/>
      <w:marLeft w:val="0"/>
      <w:marRight w:val="0"/>
      <w:marTop w:val="0"/>
      <w:marBottom w:val="0"/>
      <w:divBdr>
        <w:top w:val="none" w:sz="0" w:space="0" w:color="auto"/>
        <w:left w:val="none" w:sz="0" w:space="0" w:color="auto"/>
        <w:bottom w:val="none" w:sz="0" w:space="0" w:color="auto"/>
        <w:right w:val="none" w:sz="0" w:space="0" w:color="auto"/>
      </w:divBdr>
    </w:div>
    <w:div w:id="1357004237">
      <w:bodyDiv w:val="1"/>
      <w:marLeft w:val="0"/>
      <w:marRight w:val="0"/>
      <w:marTop w:val="0"/>
      <w:marBottom w:val="0"/>
      <w:divBdr>
        <w:top w:val="none" w:sz="0" w:space="0" w:color="auto"/>
        <w:left w:val="none" w:sz="0" w:space="0" w:color="auto"/>
        <w:bottom w:val="none" w:sz="0" w:space="0" w:color="auto"/>
        <w:right w:val="none" w:sz="0" w:space="0" w:color="auto"/>
      </w:divBdr>
    </w:div>
    <w:div w:id="1359160785">
      <w:bodyDiv w:val="1"/>
      <w:marLeft w:val="0"/>
      <w:marRight w:val="0"/>
      <w:marTop w:val="0"/>
      <w:marBottom w:val="0"/>
      <w:divBdr>
        <w:top w:val="none" w:sz="0" w:space="0" w:color="auto"/>
        <w:left w:val="none" w:sz="0" w:space="0" w:color="auto"/>
        <w:bottom w:val="none" w:sz="0" w:space="0" w:color="auto"/>
        <w:right w:val="none" w:sz="0" w:space="0" w:color="auto"/>
      </w:divBdr>
    </w:div>
    <w:div w:id="1362823392">
      <w:bodyDiv w:val="1"/>
      <w:marLeft w:val="0"/>
      <w:marRight w:val="0"/>
      <w:marTop w:val="0"/>
      <w:marBottom w:val="0"/>
      <w:divBdr>
        <w:top w:val="none" w:sz="0" w:space="0" w:color="auto"/>
        <w:left w:val="none" w:sz="0" w:space="0" w:color="auto"/>
        <w:bottom w:val="none" w:sz="0" w:space="0" w:color="auto"/>
        <w:right w:val="none" w:sz="0" w:space="0" w:color="auto"/>
      </w:divBdr>
    </w:div>
    <w:div w:id="1418552293">
      <w:bodyDiv w:val="1"/>
      <w:marLeft w:val="0"/>
      <w:marRight w:val="0"/>
      <w:marTop w:val="0"/>
      <w:marBottom w:val="0"/>
      <w:divBdr>
        <w:top w:val="none" w:sz="0" w:space="0" w:color="auto"/>
        <w:left w:val="none" w:sz="0" w:space="0" w:color="auto"/>
        <w:bottom w:val="none" w:sz="0" w:space="0" w:color="auto"/>
        <w:right w:val="none" w:sz="0" w:space="0" w:color="auto"/>
      </w:divBdr>
    </w:div>
    <w:div w:id="1436053678">
      <w:bodyDiv w:val="1"/>
      <w:marLeft w:val="0"/>
      <w:marRight w:val="0"/>
      <w:marTop w:val="0"/>
      <w:marBottom w:val="0"/>
      <w:divBdr>
        <w:top w:val="none" w:sz="0" w:space="0" w:color="auto"/>
        <w:left w:val="none" w:sz="0" w:space="0" w:color="auto"/>
        <w:bottom w:val="none" w:sz="0" w:space="0" w:color="auto"/>
        <w:right w:val="none" w:sz="0" w:space="0" w:color="auto"/>
      </w:divBdr>
    </w:div>
    <w:div w:id="1451120167">
      <w:bodyDiv w:val="1"/>
      <w:marLeft w:val="0"/>
      <w:marRight w:val="0"/>
      <w:marTop w:val="0"/>
      <w:marBottom w:val="0"/>
      <w:divBdr>
        <w:top w:val="none" w:sz="0" w:space="0" w:color="auto"/>
        <w:left w:val="none" w:sz="0" w:space="0" w:color="auto"/>
        <w:bottom w:val="none" w:sz="0" w:space="0" w:color="auto"/>
        <w:right w:val="none" w:sz="0" w:space="0" w:color="auto"/>
      </w:divBdr>
    </w:div>
    <w:div w:id="1464470644">
      <w:bodyDiv w:val="1"/>
      <w:marLeft w:val="0"/>
      <w:marRight w:val="0"/>
      <w:marTop w:val="0"/>
      <w:marBottom w:val="0"/>
      <w:divBdr>
        <w:top w:val="none" w:sz="0" w:space="0" w:color="auto"/>
        <w:left w:val="none" w:sz="0" w:space="0" w:color="auto"/>
        <w:bottom w:val="none" w:sz="0" w:space="0" w:color="auto"/>
        <w:right w:val="none" w:sz="0" w:space="0" w:color="auto"/>
      </w:divBdr>
    </w:div>
    <w:div w:id="1468083287">
      <w:bodyDiv w:val="1"/>
      <w:marLeft w:val="0"/>
      <w:marRight w:val="0"/>
      <w:marTop w:val="0"/>
      <w:marBottom w:val="0"/>
      <w:divBdr>
        <w:top w:val="none" w:sz="0" w:space="0" w:color="auto"/>
        <w:left w:val="none" w:sz="0" w:space="0" w:color="auto"/>
        <w:bottom w:val="none" w:sz="0" w:space="0" w:color="auto"/>
        <w:right w:val="none" w:sz="0" w:space="0" w:color="auto"/>
      </w:divBdr>
    </w:div>
    <w:div w:id="1493450437">
      <w:bodyDiv w:val="1"/>
      <w:marLeft w:val="0"/>
      <w:marRight w:val="0"/>
      <w:marTop w:val="0"/>
      <w:marBottom w:val="0"/>
      <w:divBdr>
        <w:top w:val="none" w:sz="0" w:space="0" w:color="auto"/>
        <w:left w:val="none" w:sz="0" w:space="0" w:color="auto"/>
        <w:bottom w:val="none" w:sz="0" w:space="0" w:color="auto"/>
        <w:right w:val="none" w:sz="0" w:space="0" w:color="auto"/>
      </w:divBdr>
    </w:div>
    <w:div w:id="1494443704">
      <w:bodyDiv w:val="1"/>
      <w:marLeft w:val="0"/>
      <w:marRight w:val="0"/>
      <w:marTop w:val="0"/>
      <w:marBottom w:val="0"/>
      <w:divBdr>
        <w:top w:val="none" w:sz="0" w:space="0" w:color="auto"/>
        <w:left w:val="none" w:sz="0" w:space="0" w:color="auto"/>
        <w:bottom w:val="none" w:sz="0" w:space="0" w:color="auto"/>
        <w:right w:val="none" w:sz="0" w:space="0" w:color="auto"/>
      </w:divBdr>
    </w:div>
    <w:div w:id="1500736164">
      <w:bodyDiv w:val="1"/>
      <w:marLeft w:val="0"/>
      <w:marRight w:val="0"/>
      <w:marTop w:val="0"/>
      <w:marBottom w:val="0"/>
      <w:divBdr>
        <w:top w:val="none" w:sz="0" w:space="0" w:color="auto"/>
        <w:left w:val="none" w:sz="0" w:space="0" w:color="auto"/>
        <w:bottom w:val="none" w:sz="0" w:space="0" w:color="auto"/>
        <w:right w:val="none" w:sz="0" w:space="0" w:color="auto"/>
      </w:divBdr>
    </w:div>
    <w:div w:id="1517384731">
      <w:bodyDiv w:val="1"/>
      <w:marLeft w:val="0"/>
      <w:marRight w:val="0"/>
      <w:marTop w:val="0"/>
      <w:marBottom w:val="0"/>
      <w:divBdr>
        <w:top w:val="none" w:sz="0" w:space="0" w:color="auto"/>
        <w:left w:val="none" w:sz="0" w:space="0" w:color="auto"/>
        <w:bottom w:val="none" w:sz="0" w:space="0" w:color="auto"/>
        <w:right w:val="none" w:sz="0" w:space="0" w:color="auto"/>
      </w:divBdr>
    </w:div>
    <w:div w:id="1519393928">
      <w:bodyDiv w:val="1"/>
      <w:marLeft w:val="0"/>
      <w:marRight w:val="0"/>
      <w:marTop w:val="0"/>
      <w:marBottom w:val="0"/>
      <w:divBdr>
        <w:top w:val="none" w:sz="0" w:space="0" w:color="auto"/>
        <w:left w:val="none" w:sz="0" w:space="0" w:color="auto"/>
        <w:bottom w:val="none" w:sz="0" w:space="0" w:color="auto"/>
        <w:right w:val="none" w:sz="0" w:space="0" w:color="auto"/>
      </w:divBdr>
    </w:div>
    <w:div w:id="1526476496">
      <w:bodyDiv w:val="1"/>
      <w:marLeft w:val="0"/>
      <w:marRight w:val="0"/>
      <w:marTop w:val="0"/>
      <w:marBottom w:val="0"/>
      <w:divBdr>
        <w:top w:val="none" w:sz="0" w:space="0" w:color="auto"/>
        <w:left w:val="none" w:sz="0" w:space="0" w:color="auto"/>
        <w:bottom w:val="none" w:sz="0" w:space="0" w:color="auto"/>
        <w:right w:val="none" w:sz="0" w:space="0" w:color="auto"/>
      </w:divBdr>
    </w:div>
    <w:div w:id="1538735641">
      <w:bodyDiv w:val="1"/>
      <w:marLeft w:val="0"/>
      <w:marRight w:val="0"/>
      <w:marTop w:val="0"/>
      <w:marBottom w:val="0"/>
      <w:divBdr>
        <w:top w:val="none" w:sz="0" w:space="0" w:color="auto"/>
        <w:left w:val="none" w:sz="0" w:space="0" w:color="auto"/>
        <w:bottom w:val="none" w:sz="0" w:space="0" w:color="auto"/>
        <w:right w:val="none" w:sz="0" w:space="0" w:color="auto"/>
      </w:divBdr>
    </w:div>
    <w:div w:id="1539968565">
      <w:bodyDiv w:val="1"/>
      <w:marLeft w:val="0"/>
      <w:marRight w:val="0"/>
      <w:marTop w:val="0"/>
      <w:marBottom w:val="0"/>
      <w:divBdr>
        <w:top w:val="none" w:sz="0" w:space="0" w:color="auto"/>
        <w:left w:val="none" w:sz="0" w:space="0" w:color="auto"/>
        <w:bottom w:val="none" w:sz="0" w:space="0" w:color="auto"/>
        <w:right w:val="none" w:sz="0" w:space="0" w:color="auto"/>
      </w:divBdr>
    </w:div>
    <w:div w:id="1565917633">
      <w:bodyDiv w:val="1"/>
      <w:marLeft w:val="0"/>
      <w:marRight w:val="0"/>
      <w:marTop w:val="0"/>
      <w:marBottom w:val="0"/>
      <w:divBdr>
        <w:top w:val="none" w:sz="0" w:space="0" w:color="auto"/>
        <w:left w:val="none" w:sz="0" w:space="0" w:color="auto"/>
        <w:bottom w:val="none" w:sz="0" w:space="0" w:color="auto"/>
        <w:right w:val="none" w:sz="0" w:space="0" w:color="auto"/>
      </w:divBdr>
    </w:div>
    <w:div w:id="1570336641">
      <w:bodyDiv w:val="1"/>
      <w:marLeft w:val="0"/>
      <w:marRight w:val="0"/>
      <w:marTop w:val="0"/>
      <w:marBottom w:val="0"/>
      <w:divBdr>
        <w:top w:val="none" w:sz="0" w:space="0" w:color="auto"/>
        <w:left w:val="none" w:sz="0" w:space="0" w:color="auto"/>
        <w:bottom w:val="none" w:sz="0" w:space="0" w:color="auto"/>
        <w:right w:val="none" w:sz="0" w:space="0" w:color="auto"/>
      </w:divBdr>
    </w:div>
    <w:div w:id="1575437057">
      <w:bodyDiv w:val="1"/>
      <w:marLeft w:val="0"/>
      <w:marRight w:val="0"/>
      <w:marTop w:val="0"/>
      <w:marBottom w:val="0"/>
      <w:divBdr>
        <w:top w:val="none" w:sz="0" w:space="0" w:color="auto"/>
        <w:left w:val="none" w:sz="0" w:space="0" w:color="auto"/>
        <w:bottom w:val="none" w:sz="0" w:space="0" w:color="auto"/>
        <w:right w:val="none" w:sz="0" w:space="0" w:color="auto"/>
      </w:divBdr>
    </w:div>
    <w:div w:id="1578708662">
      <w:bodyDiv w:val="1"/>
      <w:marLeft w:val="0"/>
      <w:marRight w:val="0"/>
      <w:marTop w:val="0"/>
      <w:marBottom w:val="0"/>
      <w:divBdr>
        <w:top w:val="none" w:sz="0" w:space="0" w:color="auto"/>
        <w:left w:val="none" w:sz="0" w:space="0" w:color="auto"/>
        <w:bottom w:val="none" w:sz="0" w:space="0" w:color="auto"/>
        <w:right w:val="none" w:sz="0" w:space="0" w:color="auto"/>
      </w:divBdr>
    </w:div>
    <w:div w:id="1590234023">
      <w:bodyDiv w:val="1"/>
      <w:marLeft w:val="0"/>
      <w:marRight w:val="0"/>
      <w:marTop w:val="0"/>
      <w:marBottom w:val="0"/>
      <w:divBdr>
        <w:top w:val="none" w:sz="0" w:space="0" w:color="auto"/>
        <w:left w:val="none" w:sz="0" w:space="0" w:color="auto"/>
        <w:bottom w:val="none" w:sz="0" w:space="0" w:color="auto"/>
        <w:right w:val="none" w:sz="0" w:space="0" w:color="auto"/>
      </w:divBdr>
    </w:div>
    <w:div w:id="1591814164">
      <w:bodyDiv w:val="1"/>
      <w:marLeft w:val="0"/>
      <w:marRight w:val="0"/>
      <w:marTop w:val="0"/>
      <w:marBottom w:val="0"/>
      <w:divBdr>
        <w:top w:val="none" w:sz="0" w:space="0" w:color="auto"/>
        <w:left w:val="none" w:sz="0" w:space="0" w:color="auto"/>
        <w:bottom w:val="none" w:sz="0" w:space="0" w:color="auto"/>
        <w:right w:val="none" w:sz="0" w:space="0" w:color="auto"/>
      </w:divBdr>
    </w:div>
    <w:div w:id="1597981931">
      <w:bodyDiv w:val="1"/>
      <w:marLeft w:val="0"/>
      <w:marRight w:val="0"/>
      <w:marTop w:val="0"/>
      <w:marBottom w:val="0"/>
      <w:divBdr>
        <w:top w:val="none" w:sz="0" w:space="0" w:color="auto"/>
        <w:left w:val="none" w:sz="0" w:space="0" w:color="auto"/>
        <w:bottom w:val="none" w:sz="0" w:space="0" w:color="auto"/>
        <w:right w:val="none" w:sz="0" w:space="0" w:color="auto"/>
      </w:divBdr>
      <w:divsChild>
        <w:div w:id="102195707">
          <w:marLeft w:val="0"/>
          <w:marRight w:val="0"/>
          <w:marTop w:val="0"/>
          <w:marBottom w:val="0"/>
          <w:divBdr>
            <w:top w:val="none" w:sz="0" w:space="0" w:color="auto"/>
            <w:left w:val="none" w:sz="0" w:space="0" w:color="auto"/>
            <w:bottom w:val="none" w:sz="0" w:space="0" w:color="auto"/>
            <w:right w:val="none" w:sz="0" w:space="0" w:color="auto"/>
          </w:divBdr>
        </w:div>
      </w:divsChild>
    </w:div>
    <w:div w:id="1621717943">
      <w:bodyDiv w:val="1"/>
      <w:marLeft w:val="0"/>
      <w:marRight w:val="0"/>
      <w:marTop w:val="0"/>
      <w:marBottom w:val="0"/>
      <w:divBdr>
        <w:top w:val="none" w:sz="0" w:space="0" w:color="auto"/>
        <w:left w:val="none" w:sz="0" w:space="0" w:color="auto"/>
        <w:bottom w:val="none" w:sz="0" w:space="0" w:color="auto"/>
        <w:right w:val="none" w:sz="0" w:space="0" w:color="auto"/>
      </w:divBdr>
    </w:div>
    <w:div w:id="1629438027">
      <w:bodyDiv w:val="1"/>
      <w:marLeft w:val="0"/>
      <w:marRight w:val="0"/>
      <w:marTop w:val="0"/>
      <w:marBottom w:val="0"/>
      <w:divBdr>
        <w:top w:val="none" w:sz="0" w:space="0" w:color="auto"/>
        <w:left w:val="none" w:sz="0" w:space="0" w:color="auto"/>
        <w:bottom w:val="none" w:sz="0" w:space="0" w:color="auto"/>
        <w:right w:val="none" w:sz="0" w:space="0" w:color="auto"/>
      </w:divBdr>
    </w:div>
    <w:div w:id="1629974813">
      <w:bodyDiv w:val="1"/>
      <w:marLeft w:val="0"/>
      <w:marRight w:val="0"/>
      <w:marTop w:val="0"/>
      <w:marBottom w:val="0"/>
      <w:divBdr>
        <w:top w:val="none" w:sz="0" w:space="0" w:color="auto"/>
        <w:left w:val="none" w:sz="0" w:space="0" w:color="auto"/>
        <w:bottom w:val="none" w:sz="0" w:space="0" w:color="auto"/>
        <w:right w:val="none" w:sz="0" w:space="0" w:color="auto"/>
      </w:divBdr>
    </w:div>
    <w:div w:id="1630042295">
      <w:bodyDiv w:val="1"/>
      <w:marLeft w:val="0"/>
      <w:marRight w:val="0"/>
      <w:marTop w:val="0"/>
      <w:marBottom w:val="0"/>
      <w:divBdr>
        <w:top w:val="none" w:sz="0" w:space="0" w:color="auto"/>
        <w:left w:val="none" w:sz="0" w:space="0" w:color="auto"/>
        <w:bottom w:val="none" w:sz="0" w:space="0" w:color="auto"/>
        <w:right w:val="none" w:sz="0" w:space="0" w:color="auto"/>
      </w:divBdr>
    </w:div>
    <w:div w:id="1634602877">
      <w:bodyDiv w:val="1"/>
      <w:marLeft w:val="0"/>
      <w:marRight w:val="0"/>
      <w:marTop w:val="0"/>
      <w:marBottom w:val="0"/>
      <w:divBdr>
        <w:top w:val="none" w:sz="0" w:space="0" w:color="auto"/>
        <w:left w:val="none" w:sz="0" w:space="0" w:color="auto"/>
        <w:bottom w:val="none" w:sz="0" w:space="0" w:color="auto"/>
        <w:right w:val="none" w:sz="0" w:space="0" w:color="auto"/>
      </w:divBdr>
    </w:div>
    <w:div w:id="1677685305">
      <w:bodyDiv w:val="1"/>
      <w:marLeft w:val="0"/>
      <w:marRight w:val="0"/>
      <w:marTop w:val="0"/>
      <w:marBottom w:val="0"/>
      <w:divBdr>
        <w:top w:val="none" w:sz="0" w:space="0" w:color="auto"/>
        <w:left w:val="none" w:sz="0" w:space="0" w:color="auto"/>
        <w:bottom w:val="none" w:sz="0" w:space="0" w:color="auto"/>
        <w:right w:val="none" w:sz="0" w:space="0" w:color="auto"/>
      </w:divBdr>
    </w:div>
    <w:div w:id="1689791379">
      <w:bodyDiv w:val="1"/>
      <w:marLeft w:val="0"/>
      <w:marRight w:val="0"/>
      <w:marTop w:val="0"/>
      <w:marBottom w:val="0"/>
      <w:divBdr>
        <w:top w:val="none" w:sz="0" w:space="0" w:color="auto"/>
        <w:left w:val="none" w:sz="0" w:space="0" w:color="auto"/>
        <w:bottom w:val="none" w:sz="0" w:space="0" w:color="auto"/>
        <w:right w:val="none" w:sz="0" w:space="0" w:color="auto"/>
      </w:divBdr>
    </w:div>
    <w:div w:id="1690326215">
      <w:bodyDiv w:val="1"/>
      <w:marLeft w:val="0"/>
      <w:marRight w:val="0"/>
      <w:marTop w:val="0"/>
      <w:marBottom w:val="0"/>
      <w:divBdr>
        <w:top w:val="none" w:sz="0" w:space="0" w:color="auto"/>
        <w:left w:val="none" w:sz="0" w:space="0" w:color="auto"/>
        <w:bottom w:val="none" w:sz="0" w:space="0" w:color="auto"/>
        <w:right w:val="none" w:sz="0" w:space="0" w:color="auto"/>
      </w:divBdr>
    </w:div>
    <w:div w:id="1690791778">
      <w:bodyDiv w:val="1"/>
      <w:marLeft w:val="0"/>
      <w:marRight w:val="0"/>
      <w:marTop w:val="0"/>
      <w:marBottom w:val="0"/>
      <w:divBdr>
        <w:top w:val="none" w:sz="0" w:space="0" w:color="auto"/>
        <w:left w:val="none" w:sz="0" w:space="0" w:color="auto"/>
        <w:bottom w:val="none" w:sz="0" w:space="0" w:color="auto"/>
        <w:right w:val="none" w:sz="0" w:space="0" w:color="auto"/>
      </w:divBdr>
    </w:div>
    <w:div w:id="1691028430">
      <w:bodyDiv w:val="1"/>
      <w:marLeft w:val="0"/>
      <w:marRight w:val="0"/>
      <w:marTop w:val="0"/>
      <w:marBottom w:val="0"/>
      <w:divBdr>
        <w:top w:val="none" w:sz="0" w:space="0" w:color="auto"/>
        <w:left w:val="none" w:sz="0" w:space="0" w:color="auto"/>
        <w:bottom w:val="none" w:sz="0" w:space="0" w:color="auto"/>
        <w:right w:val="none" w:sz="0" w:space="0" w:color="auto"/>
      </w:divBdr>
    </w:div>
    <w:div w:id="1692145884">
      <w:bodyDiv w:val="1"/>
      <w:marLeft w:val="0"/>
      <w:marRight w:val="0"/>
      <w:marTop w:val="0"/>
      <w:marBottom w:val="0"/>
      <w:divBdr>
        <w:top w:val="none" w:sz="0" w:space="0" w:color="auto"/>
        <w:left w:val="none" w:sz="0" w:space="0" w:color="auto"/>
        <w:bottom w:val="none" w:sz="0" w:space="0" w:color="auto"/>
        <w:right w:val="none" w:sz="0" w:space="0" w:color="auto"/>
      </w:divBdr>
    </w:div>
    <w:div w:id="1698119089">
      <w:bodyDiv w:val="1"/>
      <w:marLeft w:val="0"/>
      <w:marRight w:val="0"/>
      <w:marTop w:val="0"/>
      <w:marBottom w:val="0"/>
      <w:divBdr>
        <w:top w:val="none" w:sz="0" w:space="0" w:color="auto"/>
        <w:left w:val="none" w:sz="0" w:space="0" w:color="auto"/>
        <w:bottom w:val="none" w:sz="0" w:space="0" w:color="auto"/>
        <w:right w:val="none" w:sz="0" w:space="0" w:color="auto"/>
      </w:divBdr>
    </w:div>
    <w:div w:id="1698314283">
      <w:bodyDiv w:val="1"/>
      <w:marLeft w:val="0"/>
      <w:marRight w:val="0"/>
      <w:marTop w:val="0"/>
      <w:marBottom w:val="0"/>
      <w:divBdr>
        <w:top w:val="none" w:sz="0" w:space="0" w:color="auto"/>
        <w:left w:val="none" w:sz="0" w:space="0" w:color="auto"/>
        <w:bottom w:val="none" w:sz="0" w:space="0" w:color="auto"/>
        <w:right w:val="none" w:sz="0" w:space="0" w:color="auto"/>
      </w:divBdr>
    </w:div>
    <w:div w:id="1699087686">
      <w:bodyDiv w:val="1"/>
      <w:marLeft w:val="0"/>
      <w:marRight w:val="0"/>
      <w:marTop w:val="0"/>
      <w:marBottom w:val="0"/>
      <w:divBdr>
        <w:top w:val="none" w:sz="0" w:space="0" w:color="auto"/>
        <w:left w:val="none" w:sz="0" w:space="0" w:color="auto"/>
        <w:bottom w:val="none" w:sz="0" w:space="0" w:color="auto"/>
        <w:right w:val="none" w:sz="0" w:space="0" w:color="auto"/>
      </w:divBdr>
    </w:div>
    <w:div w:id="1705057411">
      <w:bodyDiv w:val="1"/>
      <w:marLeft w:val="0"/>
      <w:marRight w:val="0"/>
      <w:marTop w:val="0"/>
      <w:marBottom w:val="0"/>
      <w:divBdr>
        <w:top w:val="none" w:sz="0" w:space="0" w:color="auto"/>
        <w:left w:val="none" w:sz="0" w:space="0" w:color="auto"/>
        <w:bottom w:val="none" w:sz="0" w:space="0" w:color="auto"/>
        <w:right w:val="none" w:sz="0" w:space="0" w:color="auto"/>
      </w:divBdr>
    </w:div>
    <w:div w:id="1705670326">
      <w:bodyDiv w:val="1"/>
      <w:marLeft w:val="0"/>
      <w:marRight w:val="0"/>
      <w:marTop w:val="0"/>
      <w:marBottom w:val="0"/>
      <w:divBdr>
        <w:top w:val="none" w:sz="0" w:space="0" w:color="auto"/>
        <w:left w:val="none" w:sz="0" w:space="0" w:color="auto"/>
        <w:bottom w:val="none" w:sz="0" w:space="0" w:color="auto"/>
        <w:right w:val="none" w:sz="0" w:space="0" w:color="auto"/>
      </w:divBdr>
    </w:div>
    <w:div w:id="1711684371">
      <w:bodyDiv w:val="1"/>
      <w:marLeft w:val="0"/>
      <w:marRight w:val="0"/>
      <w:marTop w:val="0"/>
      <w:marBottom w:val="0"/>
      <w:divBdr>
        <w:top w:val="none" w:sz="0" w:space="0" w:color="auto"/>
        <w:left w:val="none" w:sz="0" w:space="0" w:color="auto"/>
        <w:bottom w:val="none" w:sz="0" w:space="0" w:color="auto"/>
        <w:right w:val="none" w:sz="0" w:space="0" w:color="auto"/>
      </w:divBdr>
    </w:div>
    <w:div w:id="1716343506">
      <w:bodyDiv w:val="1"/>
      <w:marLeft w:val="0"/>
      <w:marRight w:val="0"/>
      <w:marTop w:val="0"/>
      <w:marBottom w:val="0"/>
      <w:divBdr>
        <w:top w:val="none" w:sz="0" w:space="0" w:color="auto"/>
        <w:left w:val="none" w:sz="0" w:space="0" w:color="auto"/>
        <w:bottom w:val="none" w:sz="0" w:space="0" w:color="auto"/>
        <w:right w:val="none" w:sz="0" w:space="0" w:color="auto"/>
      </w:divBdr>
    </w:div>
    <w:div w:id="1741366669">
      <w:bodyDiv w:val="1"/>
      <w:marLeft w:val="0"/>
      <w:marRight w:val="0"/>
      <w:marTop w:val="0"/>
      <w:marBottom w:val="0"/>
      <w:divBdr>
        <w:top w:val="none" w:sz="0" w:space="0" w:color="auto"/>
        <w:left w:val="none" w:sz="0" w:space="0" w:color="auto"/>
        <w:bottom w:val="none" w:sz="0" w:space="0" w:color="auto"/>
        <w:right w:val="none" w:sz="0" w:space="0" w:color="auto"/>
      </w:divBdr>
    </w:div>
    <w:div w:id="1770159284">
      <w:bodyDiv w:val="1"/>
      <w:marLeft w:val="0"/>
      <w:marRight w:val="0"/>
      <w:marTop w:val="0"/>
      <w:marBottom w:val="0"/>
      <w:divBdr>
        <w:top w:val="none" w:sz="0" w:space="0" w:color="auto"/>
        <w:left w:val="none" w:sz="0" w:space="0" w:color="auto"/>
        <w:bottom w:val="none" w:sz="0" w:space="0" w:color="auto"/>
        <w:right w:val="none" w:sz="0" w:space="0" w:color="auto"/>
      </w:divBdr>
    </w:div>
    <w:div w:id="1780100964">
      <w:bodyDiv w:val="1"/>
      <w:marLeft w:val="0"/>
      <w:marRight w:val="0"/>
      <w:marTop w:val="0"/>
      <w:marBottom w:val="0"/>
      <w:divBdr>
        <w:top w:val="none" w:sz="0" w:space="0" w:color="auto"/>
        <w:left w:val="none" w:sz="0" w:space="0" w:color="auto"/>
        <w:bottom w:val="none" w:sz="0" w:space="0" w:color="auto"/>
        <w:right w:val="none" w:sz="0" w:space="0" w:color="auto"/>
      </w:divBdr>
    </w:div>
    <w:div w:id="1814132876">
      <w:bodyDiv w:val="1"/>
      <w:marLeft w:val="0"/>
      <w:marRight w:val="0"/>
      <w:marTop w:val="0"/>
      <w:marBottom w:val="0"/>
      <w:divBdr>
        <w:top w:val="none" w:sz="0" w:space="0" w:color="auto"/>
        <w:left w:val="none" w:sz="0" w:space="0" w:color="auto"/>
        <w:bottom w:val="none" w:sz="0" w:space="0" w:color="auto"/>
        <w:right w:val="none" w:sz="0" w:space="0" w:color="auto"/>
      </w:divBdr>
    </w:div>
    <w:div w:id="1821001211">
      <w:bodyDiv w:val="1"/>
      <w:marLeft w:val="0"/>
      <w:marRight w:val="0"/>
      <w:marTop w:val="0"/>
      <w:marBottom w:val="0"/>
      <w:divBdr>
        <w:top w:val="none" w:sz="0" w:space="0" w:color="auto"/>
        <w:left w:val="none" w:sz="0" w:space="0" w:color="auto"/>
        <w:bottom w:val="none" w:sz="0" w:space="0" w:color="auto"/>
        <w:right w:val="none" w:sz="0" w:space="0" w:color="auto"/>
      </w:divBdr>
    </w:div>
    <w:div w:id="1832090520">
      <w:bodyDiv w:val="1"/>
      <w:marLeft w:val="0"/>
      <w:marRight w:val="0"/>
      <w:marTop w:val="0"/>
      <w:marBottom w:val="0"/>
      <w:divBdr>
        <w:top w:val="none" w:sz="0" w:space="0" w:color="auto"/>
        <w:left w:val="none" w:sz="0" w:space="0" w:color="auto"/>
        <w:bottom w:val="none" w:sz="0" w:space="0" w:color="auto"/>
        <w:right w:val="none" w:sz="0" w:space="0" w:color="auto"/>
      </w:divBdr>
    </w:div>
    <w:div w:id="1834102636">
      <w:bodyDiv w:val="1"/>
      <w:marLeft w:val="0"/>
      <w:marRight w:val="0"/>
      <w:marTop w:val="0"/>
      <w:marBottom w:val="0"/>
      <w:divBdr>
        <w:top w:val="none" w:sz="0" w:space="0" w:color="auto"/>
        <w:left w:val="none" w:sz="0" w:space="0" w:color="auto"/>
        <w:bottom w:val="none" w:sz="0" w:space="0" w:color="auto"/>
        <w:right w:val="none" w:sz="0" w:space="0" w:color="auto"/>
      </w:divBdr>
    </w:div>
    <w:div w:id="1855147100">
      <w:bodyDiv w:val="1"/>
      <w:marLeft w:val="0"/>
      <w:marRight w:val="0"/>
      <w:marTop w:val="0"/>
      <w:marBottom w:val="0"/>
      <w:divBdr>
        <w:top w:val="none" w:sz="0" w:space="0" w:color="auto"/>
        <w:left w:val="none" w:sz="0" w:space="0" w:color="auto"/>
        <w:bottom w:val="none" w:sz="0" w:space="0" w:color="auto"/>
        <w:right w:val="none" w:sz="0" w:space="0" w:color="auto"/>
      </w:divBdr>
    </w:div>
    <w:div w:id="1873419365">
      <w:bodyDiv w:val="1"/>
      <w:marLeft w:val="0"/>
      <w:marRight w:val="0"/>
      <w:marTop w:val="0"/>
      <w:marBottom w:val="0"/>
      <w:divBdr>
        <w:top w:val="none" w:sz="0" w:space="0" w:color="auto"/>
        <w:left w:val="none" w:sz="0" w:space="0" w:color="auto"/>
        <w:bottom w:val="none" w:sz="0" w:space="0" w:color="auto"/>
        <w:right w:val="none" w:sz="0" w:space="0" w:color="auto"/>
      </w:divBdr>
    </w:div>
    <w:div w:id="1922525939">
      <w:bodyDiv w:val="1"/>
      <w:marLeft w:val="0"/>
      <w:marRight w:val="0"/>
      <w:marTop w:val="0"/>
      <w:marBottom w:val="0"/>
      <w:divBdr>
        <w:top w:val="none" w:sz="0" w:space="0" w:color="auto"/>
        <w:left w:val="none" w:sz="0" w:space="0" w:color="auto"/>
        <w:bottom w:val="none" w:sz="0" w:space="0" w:color="auto"/>
        <w:right w:val="none" w:sz="0" w:space="0" w:color="auto"/>
      </w:divBdr>
    </w:div>
    <w:div w:id="1925413523">
      <w:bodyDiv w:val="1"/>
      <w:marLeft w:val="0"/>
      <w:marRight w:val="0"/>
      <w:marTop w:val="0"/>
      <w:marBottom w:val="0"/>
      <w:divBdr>
        <w:top w:val="none" w:sz="0" w:space="0" w:color="auto"/>
        <w:left w:val="none" w:sz="0" w:space="0" w:color="auto"/>
        <w:bottom w:val="none" w:sz="0" w:space="0" w:color="auto"/>
        <w:right w:val="none" w:sz="0" w:space="0" w:color="auto"/>
      </w:divBdr>
    </w:div>
    <w:div w:id="1928417199">
      <w:bodyDiv w:val="1"/>
      <w:marLeft w:val="0"/>
      <w:marRight w:val="0"/>
      <w:marTop w:val="0"/>
      <w:marBottom w:val="0"/>
      <w:divBdr>
        <w:top w:val="none" w:sz="0" w:space="0" w:color="auto"/>
        <w:left w:val="none" w:sz="0" w:space="0" w:color="auto"/>
        <w:bottom w:val="none" w:sz="0" w:space="0" w:color="auto"/>
        <w:right w:val="none" w:sz="0" w:space="0" w:color="auto"/>
      </w:divBdr>
    </w:div>
    <w:div w:id="1928731533">
      <w:bodyDiv w:val="1"/>
      <w:marLeft w:val="0"/>
      <w:marRight w:val="0"/>
      <w:marTop w:val="0"/>
      <w:marBottom w:val="0"/>
      <w:divBdr>
        <w:top w:val="none" w:sz="0" w:space="0" w:color="auto"/>
        <w:left w:val="none" w:sz="0" w:space="0" w:color="auto"/>
        <w:bottom w:val="none" w:sz="0" w:space="0" w:color="auto"/>
        <w:right w:val="none" w:sz="0" w:space="0" w:color="auto"/>
      </w:divBdr>
    </w:div>
    <w:div w:id="1939365969">
      <w:bodyDiv w:val="1"/>
      <w:marLeft w:val="0"/>
      <w:marRight w:val="0"/>
      <w:marTop w:val="0"/>
      <w:marBottom w:val="0"/>
      <w:divBdr>
        <w:top w:val="none" w:sz="0" w:space="0" w:color="auto"/>
        <w:left w:val="none" w:sz="0" w:space="0" w:color="auto"/>
        <w:bottom w:val="none" w:sz="0" w:space="0" w:color="auto"/>
        <w:right w:val="none" w:sz="0" w:space="0" w:color="auto"/>
      </w:divBdr>
    </w:div>
    <w:div w:id="1943101671">
      <w:bodyDiv w:val="1"/>
      <w:marLeft w:val="0"/>
      <w:marRight w:val="0"/>
      <w:marTop w:val="0"/>
      <w:marBottom w:val="0"/>
      <w:divBdr>
        <w:top w:val="none" w:sz="0" w:space="0" w:color="auto"/>
        <w:left w:val="none" w:sz="0" w:space="0" w:color="auto"/>
        <w:bottom w:val="none" w:sz="0" w:space="0" w:color="auto"/>
        <w:right w:val="none" w:sz="0" w:space="0" w:color="auto"/>
      </w:divBdr>
    </w:div>
    <w:div w:id="1950356841">
      <w:bodyDiv w:val="1"/>
      <w:marLeft w:val="0"/>
      <w:marRight w:val="0"/>
      <w:marTop w:val="0"/>
      <w:marBottom w:val="0"/>
      <w:divBdr>
        <w:top w:val="none" w:sz="0" w:space="0" w:color="auto"/>
        <w:left w:val="none" w:sz="0" w:space="0" w:color="auto"/>
        <w:bottom w:val="none" w:sz="0" w:space="0" w:color="auto"/>
        <w:right w:val="none" w:sz="0" w:space="0" w:color="auto"/>
      </w:divBdr>
    </w:div>
    <w:div w:id="1954558396">
      <w:bodyDiv w:val="1"/>
      <w:marLeft w:val="0"/>
      <w:marRight w:val="0"/>
      <w:marTop w:val="0"/>
      <w:marBottom w:val="0"/>
      <w:divBdr>
        <w:top w:val="none" w:sz="0" w:space="0" w:color="auto"/>
        <w:left w:val="none" w:sz="0" w:space="0" w:color="auto"/>
        <w:bottom w:val="none" w:sz="0" w:space="0" w:color="auto"/>
        <w:right w:val="none" w:sz="0" w:space="0" w:color="auto"/>
      </w:divBdr>
    </w:div>
    <w:div w:id="1957786594">
      <w:bodyDiv w:val="1"/>
      <w:marLeft w:val="0"/>
      <w:marRight w:val="0"/>
      <w:marTop w:val="0"/>
      <w:marBottom w:val="0"/>
      <w:divBdr>
        <w:top w:val="none" w:sz="0" w:space="0" w:color="auto"/>
        <w:left w:val="none" w:sz="0" w:space="0" w:color="auto"/>
        <w:bottom w:val="none" w:sz="0" w:space="0" w:color="auto"/>
        <w:right w:val="none" w:sz="0" w:space="0" w:color="auto"/>
      </w:divBdr>
    </w:div>
    <w:div w:id="1958444890">
      <w:bodyDiv w:val="1"/>
      <w:marLeft w:val="0"/>
      <w:marRight w:val="0"/>
      <w:marTop w:val="0"/>
      <w:marBottom w:val="0"/>
      <w:divBdr>
        <w:top w:val="none" w:sz="0" w:space="0" w:color="auto"/>
        <w:left w:val="none" w:sz="0" w:space="0" w:color="auto"/>
        <w:bottom w:val="none" w:sz="0" w:space="0" w:color="auto"/>
        <w:right w:val="none" w:sz="0" w:space="0" w:color="auto"/>
      </w:divBdr>
    </w:div>
    <w:div w:id="1976138603">
      <w:bodyDiv w:val="1"/>
      <w:marLeft w:val="0"/>
      <w:marRight w:val="0"/>
      <w:marTop w:val="0"/>
      <w:marBottom w:val="0"/>
      <w:divBdr>
        <w:top w:val="none" w:sz="0" w:space="0" w:color="auto"/>
        <w:left w:val="none" w:sz="0" w:space="0" w:color="auto"/>
        <w:bottom w:val="none" w:sz="0" w:space="0" w:color="auto"/>
        <w:right w:val="none" w:sz="0" w:space="0" w:color="auto"/>
      </w:divBdr>
    </w:div>
    <w:div w:id="1983121302">
      <w:bodyDiv w:val="1"/>
      <w:marLeft w:val="0"/>
      <w:marRight w:val="0"/>
      <w:marTop w:val="0"/>
      <w:marBottom w:val="0"/>
      <w:divBdr>
        <w:top w:val="none" w:sz="0" w:space="0" w:color="auto"/>
        <w:left w:val="none" w:sz="0" w:space="0" w:color="auto"/>
        <w:bottom w:val="none" w:sz="0" w:space="0" w:color="auto"/>
        <w:right w:val="none" w:sz="0" w:space="0" w:color="auto"/>
      </w:divBdr>
    </w:div>
    <w:div w:id="1986666332">
      <w:bodyDiv w:val="1"/>
      <w:marLeft w:val="0"/>
      <w:marRight w:val="0"/>
      <w:marTop w:val="0"/>
      <w:marBottom w:val="0"/>
      <w:divBdr>
        <w:top w:val="none" w:sz="0" w:space="0" w:color="auto"/>
        <w:left w:val="none" w:sz="0" w:space="0" w:color="auto"/>
        <w:bottom w:val="none" w:sz="0" w:space="0" w:color="auto"/>
        <w:right w:val="none" w:sz="0" w:space="0" w:color="auto"/>
      </w:divBdr>
    </w:div>
    <w:div w:id="2018574374">
      <w:bodyDiv w:val="1"/>
      <w:marLeft w:val="0"/>
      <w:marRight w:val="0"/>
      <w:marTop w:val="0"/>
      <w:marBottom w:val="0"/>
      <w:divBdr>
        <w:top w:val="none" w:sz="0" w:space="0" w:color="auto"/>
        <w:left w:val="none" w:sz="0" w:space="0" w:color="auto"/>
        <w:bottom w:val="none" w:sz="0" w:space="0" w:color="auto"/>
        <w:right w:val="none" w:sz="0" w:space="0" w:color="auto"/>
      </w:divBdr>
    </w:div>
    <w:div w:id="2019387792">
      <w:bodyDiv w:val="1"/>
      <w:marLeft w:val="0"/>
      <w:marRight w:val="0"/>
      <w:marTop w:val="0"/>
      <w:marBottom w:val="0"/>
      <w:divBdr>
        <w:top w:val="none" w:sz="0" w:space="0" w:color="auto"/>
        <w:left w:val="none" w:sz="0" w:space="0" w:color="auto"/>
        <w:bottom w:val="none" w:sz="0" w:space="0" w:color="auto"/>
        <w:right w:val="none" w:sz="0" w:space="0" w:color="auto"/>
      </w:divBdr>
    </w:div>
    <w:div w:id="2020353199">
      <w:bodyDiv w:val="1"/>
      <w:marLeft w:val="0"/>
      <w:marRight w:val="0"/>
      <w:marTop w:val="0"/>
      <w:marBottom w:val="0"/>
      <w:divBdr>
        <w:top w:val="none" w:sz="0" w:space="0" w:color="auto"/>
        <w:left w:val="none" w:sz="0" w:space="0" w:color="auto"/>
        <w:bottom w:val="none" w:sz="0" w:space="0" w:color="auto"/>
        <w:right w:val="none" w:sz="0" w:space="0" w:color="auto"/>
      </w:divBdr>
    </w:div>
    <w:div w:id="2032367105">
      <w:bodyDiv w:val="1"/>
      <w:marLeft w:val="0"/>
      <w:marRight w:val="0"/>
      <w:marTop w:val="0"/>
      <w:marBottom w:val="0"/>
      <w:divBdr>
        <w:top w:val="none" w:sz="0" w:space="0" w:color="auto"/>
        <w:left w:val="none" w:sz="0" w:space="0" w:color="auto"/>
        <w:bottom w:val="none" w:sz="0" w:space="0" w:color="auto"/>
        <w:right w:val="none" w:sz="0" w:space="0" w:color="auto"/>
      </w:divBdr>
    </w:div>
    <w:div w:id="2039894527">
      <w:bodyDiv w:val="1"/>
      <w:marLeft w:val="0"/>
      <w:marRight w:val="0"/>
      <w:marTop w:val="0"/>
      <w:marBottom w:val="0"/>
      <w:divBdr>
        <w:top w:val="none" w:sz="0" w:space="0" w:color="auto"/>
        <w:left w:val="none" w:sz="0" w:space="0" w:color="auto"/>
        <w:bottom w:val="none" w:sz="0" w:space="0" w:color="auto"/>
        <w:right w:val="none" w:sz="0" w:space="0" w:color="auto"/>
      </w:divBdr>
    </w:div>
    <w:div w:id="2053844536">
      <w:bodyDiv w:val="1"/>
      <w:marLeft w:val="0"/>
      <w:marRight w:val="0"/>
      <w:marTop w:val="0"/>
      <w:marBottom w:val="0"/>
      <w:divBdr>
        <w:top w:val="none" w:sz="0" w:space="0" w:color="auto"/>
        <w:left w:val="none" w:sz="0" w:space="0" w:color="auto"/>
        <w:bottom w:val="none" w:sz="0" w:space="0" w:color="auto"/>
        <w:right w:val="none" w:sz="0" w:space="0" w:color="auto"/>
      </w:divBdr>
    </w:div>
    <w:div w:id="2059085991">
      <w:bodyDiv w:val="1"/>
      <w:marLeft w:val="0"/>
      <w:marRight w:val="0"/>
      <w:marTop w:val="0"/>
      <w:marBottom w:val="0"/>
      <w:divBdr>
        <w:top w:val="none" w:sz="0" w:space="0" w:color="auto"/>
        <w:left w:val="none" w:sz="0" w:space="0" w:color="auto"/>
        <w:bottom w:val="none" w:sz="0" w:space="0" w:color="auto"/>
        <w:right w:val="none" w:sz="0" w:space="0" w:color="auto"/>
      </w:divBdr>
    </w:div>
    <w:div w:id="2077435158">
      <w:bodyDiv w:val="1"/>
      <w:marLeft w:val="0"/>
      <w:marRight w:val="0"/>
      <w:marTop w:val="0"/>
      <w:marBottom w:val="0"/>
      <w:divBdr>
        <w:top w:val="none" w:sz="0" w:space="0" w:color="auto"/>
        <w:left w:val="none" w:sz="0" w:space="0" w:color="auto"/>
        <w:bottom w:val="none" w:sz="0" w:space="0" w:color="auto"/>
        <w:right w:val="none" w:sz="0" w:space="0" w:color="auto"/>
      </w:divBdr>
    </w:div>
    <w:div w:id="2102336464">
      <w:bodyDiv w:val="1"/>
      <w:marLeft w:val="0"/>
      <w:marRight w:val="0"/>
      <w:marTop w:val="0"/>
      <w:marBottom w:val="0"/>
      <w:divBdr>
        <w:top w:val="none" w:sz="0" w:space="0" w:color="auto"/>
        <w:left w:val="none" w:sz="0" w:space="0" w:color="auto"/>
        <w:bottom w:val="none" w:sz="0" w:space="0" w:color="auto"/>
        <w:right w:val="none" w:sz="0" w:space="0" w:color="auto"/>
      </w:divBdr>
    </w:div>
    <w:div w:id="2102412132">
      <w:bodyDiv w:val="1"/>
      <w:marLeft w:val="0"/>
      <w:marRight w:val="0"/>
      <w:marTop w:val="0"/>
      <w:marBottom w:val="0"/>
      <w:divBdr>
        <w:top w:val="none" w:sz="0" w:space="0" w:color="auto"/>
        <w:left w:val="none" w:sz="0" w:space="0" w:color="auto"/>
        <w:bottom w:val="none" w:sz="0" w:space="0" w:color="auto"/>
        <w:right w:val="none" w:sz="0" w:space="0" w:color="auto"/>
      </w:divBdr>
    </w:div>
    <w:div w:id="2116634014">
      <w:bodyDiv w:val="1"/>
      <w:marLeft w:val="0"/>
      <w:marRight w:val="0"/>
      <w:marTop w:val="0"/>
      <w:marBottom w:val="0"/>
      <w:divBdr>
        <w:top w:val="none" w:sz="0" w:space="0" w:color="auto"/>
        <w:left w:val="none" w:sz="0" w:space="0" w:color="auto"/>
        <w:bottom w:val="none" w:sz="0" w:space="0" w:color="auto"/>
        <w:right w:val="none" w:sz="0" w:space="0" w:color="auto"/>
      </w:divBdr>
    </w:div>
    <w:div w:id="2124226546">
      <w:bodyDiv w:val="1"/>
      <w:marLeft w:val="0"/>
      <w:marRight w:val="0"/>
      <w:marTop w:val="0"/>
      <w:marBottom w:val="0"/>
      <w:divBdr>
        <w:top w:val="none" w:sz="0" w:space="0" w:color="auto"/>
        <w:left w:val="none" w:sz="0" w:space="0" w:color="auto"/>
        <w:bottom w:val="none" w:sz="0" w:space="0" w:color="auto"/>
        <w:right w:val="none" w:sz="0" w:space="0" w:color="auto"/>
      </w:divBdr>
    </w:div>
    <w:div w:id="2124882527">
      <w:bodyDiv w:val="1"/>
      <w:marLeft w:val="0"/>
      <w:marRight w:val="0"/>
      <w:marTop w:val="0"/>
      <w:marBottom w:val="0"/>
      <w:divBdr>
        <w:top w:val="none" w:sz="0" w:space="0" w:color="auto"/>
        <w:left w:val="none" w:sz="0" w:space="0" w:color="auto"/>
        <w:bottom w:val="none" w:sz="0" w:space="0" w:color="auto"/>
        <w:right w:val="none" w:sz="0" w:space="0" w:color="auto"/>
      </w:divBdr>
    </w:div>
    <w:div w:id="2126272453">
      <w:bodyDiv w:val="1"/>
      <w:marLeft w:val="0"/>
      <w:marRight w:val="0"/>
      <w:marTop w:val="0"/>
      <w:marBottom w:val="0"/>
      <w:divBdr>
        <w:top w:val="none" w:sz="0" w:space="0" w:color="auto"/>
        <w:left w:val="none" w:sz="0" w:space="0" w:color="auto"/>
        <w:bottom w:val="none" w:sz="0" w:space="0" w:color="auto"/>
        <w:right w:val="none" w:sz="0" w:space="0" w:color="auto"/>
      </w:divBdr>
    </w:div>
    <w:div w:id="2127041524">
      <w:bodyDiv w:val="1"/>
      <w:marLeft w:val="0"/>
      <w:marRight w:val="0"/>
      <w:marTop w:val="0"/>
      <w:marBottom w:val="0"/>
      <w:divBdr>
        <w:top w:val="none" w:sz="0" w:space="0" w:color="auto"/>
        <w:left w:val="none" w:sz="0" w:space="0" w:color="auto"/>
        <w:bottom w:val="none" w:sz="0" w:space="0" w:color="auto"/>
        <w:right w:val="none" w:sz="0" w:space="0" w:color="auto"/>
      </w:divBdr>
    </w:div>
    <w:div w:id="2127429742">
      <w:bodyDiv w:val="1"/>
      <w:marLeft w:val="0"/>
      <w:marRight w:val="0"/>
      <w:marTop w:val="0"/>
      <w:marBottom w:val="0"/>
      <w:divBdr>
        <w:top w:val="none" w:sz="0" w:space="0" w:color="auto"/>
        <w:left w:val="none" w:sz="0" w:space="0" w:color="auto"/>
        <w:bottom w:val="none" w:sz="0" w:space="0" w:color="auto"/>
        <w:right w:val="none" w:sz="0" w:space="0" w:color="auto"/>
      </w:divBdr>
    </w:div>
    <w:div w:id="2139714271">
      <w:bodyDiv w:val="1"/>
      <w:marLeft w:val="0"/>
      <w:marRight w:val="0"/>
      <w:marTop w:val="0"/>
      <w:marBottom w:val="0"/>
      <w:divBdr>
        <w:top w:val="none" w:sz="0" w:space="0" w:color="auto"/>
        <w:left w:val="none" w:sz="0" w:space="0" w:color="auto"/>
        <w:bottom w:val="none" w:sz="0" w:space="0" w:color="auto"/>
        <w:right w:val="none" w:sz="0" w:space="0" w:color="auto"/>
      </w:divBdr>
    </w:div>
    <w:div w:id="214292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fi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fi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ai-cio.com/news/maybe-baby-boomers-wont-tank-the-stock-market-by-cashing-out/?fireglass_rsn=true"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lifescapes.wellsfargoadvisors.com/estate-planning-glossary/"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orbes.com/profile/michael-obrien/"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ncslnsf701z1.wellsfargo.net\C_PCS_Groups\INVESTMENT_STRATEGY_TEAM\Publications\Market%20Charts\market%20charts%20FI%20RA%20Alts%20FX%20AA.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rgbClr val="3C3C3C"/>
                </a:solidFill>
                <a:latin typeface="Wells Fargo Sans" panose="020B0503020203020204" pitchFamily="34" charset="0"/>
                <a:ea typeface="+mn-ea"/>
                <a:cs typeface="+mn-cs"/>
              </a:defRPr>
            </a:pPr>
            <a:r>
              <a:rPr lang="en-US" sz="1200" b="1" dirty="0"/>
              <a:t>Oil rig counts in the U.S.</a:t>
            </a:r>
          </a:p>
        </c:rich>
      </c:tx>
      <c:layout>
        <c:manualLayout>
          <c:xMode val="edge"/>
          <c:yMode val="edge"/>
          <c:x val="0.35377666733965946"/>
          <c:y val="1.4760147601476014E-2"/>
        </c:manualLayout>
      </c:layout>
      <c:overlay val="0"/>
      <c:spPr>
        <a:noFill/>
        <a:ln>
          <a:noFill/>
        </a:ln>
        <a:effectLst/>
      </c:spPr>
    </c:title>
    <c:autoTitleDeleted val="0"/>
    <c:plotArea>
      <c:layout>
        <c:manualLayout>
          <c:layoutTarget val="inner"/>
          <c:xMode val="edge"/>
          <c:yMode val="edge"/>
          <c:x val="8.9577606802096213E-2"/>
          <c:y val="8.994234327266469E-2"/>
          <c:w val="0.88462456868883921"/>
          <c:h val="0.79217718191684838"/>
        </c:manualLayout>
      </c:layout>
      <c:areaChart>
        <c:grouping val="stacked"/>
        <c:varyColors val="0"/>
        <c:ser>
          <c:idx val="0"/>
          <c:order val="0"/>
          <c:tx>
            <c:strRef>
              <c:f>'rig counts'!$B$1</c:f>
              <c:strCache>
                <c:ptCount val="1"/>
                <c:pt idx="0">
                  <c:v>Rig counts</c:v>
                </c:pt>
              </c:strCache>
            </c:strRef>
          </c:tx>
          <c:spPr>
            <a:solidFill>
              <a:srgbClr val="5A469B"/>
            </a:solidFill>
            <a:ln w="19050" cap="rnd">
              <a:noFill/>
              <a:round/>
            </a:ln>
            <a:effectLst/>
          </c:spPr>
          <c:cat>
            <c:numRef>
              <c:f>'rig counts'!$A$2:$A$871</c:f>
              <c:numCache>
                <c:formatCode>[$-409]mmm\-yy;@</c:formatCode>
                <c:ptCount val="870"/>
                <c:pt idx="0">
                  <c:v>39083</c:v>
                </c:pt>
                <c:pt idx="1">
                  <c:v>39114</c:v>
                </c:pt>
                <c:pt idx="2">
                  <c:v>39142</c:v>
                </c:pt>
                <c:pt idx="3">
                  <c:v>39173</c:v>
                </c:pt>
                <c:pt idx="4">
                  <c:v>39203</c:v>
                </c:pt>
                <c:pt idx="5">
                  <c:v>39234</c:v>
                </c:pt>
                <c:pt idx="6">
                  <c:v>39264</c:v>
                </c:pt>
                <c:pt idx="7">
                  <c:v>39295</c:v>
                </c:pt>
                <c:pt idx="8">
                  <c:v>39326</c:v>
                </c:pt>
                <c:pt idx="9">
                  <c:v>39356</c:v>
                </c:pt>
                <c:pt idx="10">
                  <c:v>39387</c:v>
                </c:pt>
                <c:pt idx="11">
                  <c:v>39417</c:v>
                </c:pt>
                <c:pt idx="12">
                  <c:v>39448</c:v>
                </c:pt>
                <c:pt idx="13">
                  <c:v>39479</c:v>
                </c:pt>
                <c:pt idx="14">
                  <c:v>39508</c:v>
                </c:pt>
                <c:pt idx="15">
                  <c:v>39539</c:v>
                </c:pt>
                <c:pt idx="16">
                  <c:v>39569</c:v>
                </c:pt>
                <c:pt idx="17">
                  <c:v>39600</c:v>
                </c:pt>
                <c:pt idx="18">
                  <c:v>39630</c:v>
                </c:pt>
                <c:pt idx="19">
                  <c:v>39661</c:v>
                </c:pt>
                <c:pt idx="20">
                  <c:v>39692</c:v>
                </c:pt>
                <c:pt idx="21">
                  <c:v>39722</c:v>
                </c:pt>
                <c:pt idx="22">
                  <c:v>39753</c:v>
                </c:pt>
                <c:pt idx="23">
                  <c:v>39783</c:v>
                </c:pt>
                <c:pt idx="24">
                  <c:v>39814</c:v>
                </c:pt>
                <c:pt idx="25">
                  <c:v>39845</c:v>
                </c:pt>
                <c:pt idx="26">
                  <c:v>39873</c:v>
                </c:pt>
                <c:pt idx="27">
                  <c:v>39904</c:v>
                </c:pt>
                <c:pt idx="28">
                  <c:v>39934</c:v>
                </c:pt>
                <c:pt idx="29">
                  <c:v>39965</c:v>
                </c:pt>
                <c:pt idx="30">
                  <c:v>39995</c:v>
                </c:pt>
                <c:pt idx="31">
                  <c:v>40026</c:v>
                </c:pt>
                <c:pt idx="32">
                  <c:v>40057</c:v>
                </c:pt>
                <c:pt idx="33">
                  <c:v>40087</c:v>
                </c:pt>
                <c:pt idx="34">
                  <c:v>40118</c:v>
                </c:pt>
                <c:pt idx="35">
                  <c:v>40148</c:v>
                </c:pt>
                <c:pt idx="36">
                  <c:v>40179</c:v>
                </c:pt>
                <c:pt idx="37">
                  <c:v>40210</c:v>
                </c:pt>
                <c:pt idx="38">
                  <c:v>40238</c:v>
                </c:pt>
                <c:pt idx="39">
                  <c:v>40269</c:v>
                </c:pt>
                <c:pt idx="40">
                  <c:v>40299</c:v>
                </c:pt>
                <c:pt idx="41">
                  <c:v>40330</c:v>
                </c:pt>
                <c:pt idx="42">
                  <c:v>40360</c:v>
                </c:pt>
                <c:pt idx="43">
                  <c:v>40391</c:v>
                </c:pt>
                <c:pt idx="44">
                  <c:v>40422</c:v>
                </c:pt>
                <c:pt idx="45">
                  <c:v>40452</c:v>
                </c:pt>
                <c:pt idx="46">
                  <c:v>40483</c:v>
                </c:pt>
                <c:pt idx="47">
                  <c:v>40513</c:v>
                </c:pt>
                <c:pt idx="48">
                  <c:v>40544</c:v>
                </c:pt>
                <c:pt idx="49">
                  <c:v>40575</c:v>
                </c:pt>
                <c:pt idx="50">
                  <c:v>40603</c:v>
                </c:pt>
                <c:pt idx="51">
                  <c:v>40634</c:v>
                </c:pt>
                <c:pt idx="52">
                  <c:v>40664</c:v>
                </c:pt>
                <c:pt idx="53">
                  <c:v>40695</c:v>
                </c:pt>
                <c:pt idx="54">
                  <c:v>40725</c:v>
                </c:pt>
                <c:pt idx="55">
                  <c:v>40756</c:v>
                </c:pt>
                <c:pt idx="56">
                  <c:v>40787</c:v>
                </c:pt>
                <c:pt idx="57">
                  <c:v>40817</c:v>
                </c:pt>
                <c:pt idx="58">
                  <c:v>40848</c:v>
                </c:pt>
                <c:pt idx="59">
                  <c:v>40878</c:v>
                </c:pt>
                <c:pt idx="60">
                  <c:v>40909</c:v>
                </c:pt>
                <c:pt idx="61">
                  <c:v>40940</c:v>
                </c:pt>
                <c:pt idx="62">
                  <c:v>40969</c:v>
                </c:pt>
                <c:pt idx="63">
                  <c:v>41000</c:v>
                </c:pt>
                <c:pt idx="64">
                  <c:v>41030</c:v>
                </c:pt>
                <c:pt idx="65">
                  <c:v>41061</c:v>
                </c:pt>
                <c:pt idx="66">
                  <c:v>41091</c:v>
                </c:pt>
                <c:pt idx="67">
                  <c:v>41122</c:v>
                </c:pt>
                <c:pt idx="68">
                  <c:v>41153</c:v>
                </c:pt>
                <c:pt idx="69">
                  <c:v>41183</c:v>
                </c:pt>
                <c:pt idx="70">
                  <c:v>41214</c:v>
                </c:pt>
                <c:pt idx="71">
                  <c:v>41244</c:v>
                </c:pt>
                <c:pt idx="72">
                  <c:v>41275</c:v>
                </c:pt>
                <c:pt idx="73">
                  <c:v>41306</c:v>
                </c:pt>
                <c:pt idx="74">
                  <c:v>41334</c:v>
                </c:pt>
                <c:pt idx="75">
                  <c:v>41365</c:v>
                </c:pt>
                <c:pt idx="76">
                  <c:v>41395</c:v>
                </c:pt>
                <c:pt idx="77">
                  <c:v>41426</c:v>
                </c:pt>
                <c:pt idx="78">
                  <c:v>41456</c:v>
                </c:pt>
                <c:pt idx="79">
                  <c:v>41487</c:v>
                </c:pt>
                <c:pt idx="80">
                  <c:v>41518</c:v>
                </c:pt>
                <c:pt idx="81">
                  <c:v>41548</c:v>
                </c:pt>
                <c:pt idx="82">
                  <c:v>41579</c:v>
                </c:pt>
                <c:pt idx="83">
                  <c:v>41609</c:v>
                </c:pt>
                <c:pt idx="84">
                  <c:v>41640</c:v>
                </c:pt>
                <c:pt idx="85">
                  <c:v>41671</c:v>
                </c:pt>
                <c:pt idx="86">
                  <c:v>41699</c:v>
                </c:pt>
                <c:pt idx="87">
                  <c:v>41730</c:v>
                </c:pt>
                <c:pt idx="88">
                  <c:v>41760</c:v>
                </c:pt>
                <c:pt idx="89">
                  <c:v>41791</c:v>
                </c:pt>
                <c:pt idx="90">
                  <c:v>41821</c:v>
                </c:pt>
                <c:pt idx="91">
                  <c:v>41852</c:v>
                </c:pt>
                <c:pt idx="92">
                  <c:v>41883</c:v>
                </c:pt>
                <c:pt idx="93">
                  <c:v>41913</c:v>
                </c:pt>
                <c:pt idx="94">
                  <c:v>41944</c:v>
                </c:pt>
                <c:pt idx="95">
                  <c:v>41974</c:v>
                </c:pt>
                <c:pt idx="96">
                  <c:v>42005</c:v>
                </c:pt>
                <c:pt idx="97">
                  <c:v>42036</c:v>
                </c:pt>
                <c:pt idx="98">
                  <c:v>42064</c:v>
                </c:pt>
                <c:pt idx="99">
                  <c:v>42095</c:v>
                </c:pt>
                <c:pt idx="100">
                  <c:v>42125</c:v>
                </c:pt>
                <c:pt idx="101">
                  <c:v>42156</c:v>
                </c:pt>
                <c:pt idx="102">
                  <c:v>42186</c:v>
                </c:pt>
                <c:pt idx="103">
                  <c:v>42217</c:v>
                </c:pt>
                <c:pt idx="104">
                  <c:v>42248</c:v>
                </c:pt>
                <c:pt idx="105">
                  <c:v>42278</c:v>
                </c:pt>
                <c:pt idx="106">
                  <c:v>42309</c:v>
                </c:pt>
                <c:pt idx="107">
                  <c:v>42339</c:v>
                </c:pt>
                <c:pt idx="108">
                  <c:v>42370</c:v>
                </c:pt>
                <c:pt idx="109">
                  <c:v>42401</c:v>
                </c:pt>
                <c:pt idx="110">
                  <c:v>42430</c:v>
                </c:pt>
                <c:pt idx="111">
                  <c:v>42461</c:v>
                </c:pt>
                <c:pt idx="112">
                  <c:v>42491</c:v>
                </c:pt>
                <c:pt idx="113">
                  <c:v>42522</c:v>
                </c:pt>
                <c:pt idx="114">
                  <c:v>42552</c:v>
                </c:pt>
                <c:pt idx="115">
                  <c:v>42583</c:v>
                </c:pt>
                <c:pt idx="116">
                  <c:v>42614</c:v>
                </c:pt>
                <c:pt idx="117">
                  <c:v>42644</c:v>
                </c:pt>
                <c:pt idx="118">
                  <c:v>42675</c:v>
                </c:pt>
                <c:pt idx="119">
                  <c:v>42705</c:v>
                </c:pt>
                <c:pt idx="120">
                  <c:v>42736</c:v>
                </c:pt>
                <c:pt idx="121">
                  <c:v>42767</c:v>
                </c:pt>
                <c:pt idx="122">
                  <c:v>42795</c:v>
                </c:pt>
                <c:pt idx="123">
                  <c:v>42826</c:v>
                </c:pt>
                <c:pt idx="124">
                  <c:v>42856</c:v>
                </c:pt>
                <c:pt idx="125">
                  <c:v>42887</c:v>
                </c:pt>
                <c:pt idx="126">
                  <c:v>42917</c:v>
                </c:pt>
                <c:pt idx="127">
                  <c:v>42948</c:v>
                </c:pt>
                <c:pt idx="128">
                  <c:v>42979</c:v>
                </c:pt>
                <c:pt idx="129">
                  <c:v>43009</c:v>
                </c:pt>
                <c:pt idx="130">
                  <c:v>43040</c:v>
                </c:pt>
                <c:pt idx="131">
                  <c:v>43070</c:v>
                </c:pt>
                <c:pt idx="132">
                  <c:v>43101</c:v>
                </c:pt>
                <c:pt idx="133">
                  <c:v>43132</c:v>
                </c:pt>
                <c:pt idx="134">
                  <c:v>43160</c:v>
                </c:pt>
                <c:pt idx="135">
                  <c:v>43191</c:v>
                </c:pt>
                <c:pt idx="136">
                  <c:v>43221</c:v>
                </c:pt>
                <c:pt idx="137">
                  <c:v>43252</c:v>
                </c:pt>
                <c:pt idx="138">
                  <c:v>43282</c:v>
                </c:pt>
                <c:pt idx="139">
                  <c:v>43313</c:v>
                </c:pt>
                <c:pt idx="140">
                  <c:v>43344</c:v>
                </c:pt>
                <c:pt idx="141">
                  <c:v>43374</c:v>
                </c:pt>
                <c:pt idx="142">
                  <c:v>43405</c:v>
                </c:pt>
                <c:pt idx="143">
                  <c:v>43435</c:v>
                </c:pt>
                <c:pt idx="144">
                  <c:v>43466</c:v>
                </c:pt>
                <c:pt idx="145">
                  <c:v>43497</c:v>
                </c:pt>
                <c:pt idx="146">
                  <c:v>43525</c:v>
                </c:pt>
                <c:pt idx="147">
                  <c:v>43556</c:v>
                </c:pt>
                <c:pt idx="148">
                  <c:v>43586</c:v>
                </c:pt>
                <c:pt idx="149">
                  <c:v>43617</c:v>
                </c:pt>
                <c:pt idx="150">
                  <c:v>43647</c:v>
                </c:pt>
                <c:pt idx="151">
                  <c:v>43678</c:v>
                </c:pt>
                <c:pt idx="152">
                  <c:v>43709</c:v>
                </c:pt>
                <c:pt idx="153">
                  <c:v>43739</c:v>
                </c:pt>
                <c:pt idx="154">
                  <c:v>43770</c:v>
                </c:pt>
                <c:pt idx="155">
                  <c:v>43800</c:v>
                </c:pt>
                <c:pt idx="156">
                  <c:v>43831</c:v>
                </c:pt>
                <c:pt idx="157">
                  <c:v>43862</c:v>
                </c:pt>
                <c:pt idx="158">
                  <c:v>43891</c:v>
                </c:pt>
                <c:pt idx="159">
                  <c:v>43922</c:v>
                </c:pt>
                <c:pt idx="160">
                  <c:v>43952</c:v>
                </c:pt>
                <c:pt idx="161">
                  <c:v>43983</c:v>
                </c:pt>
                <c:pt idx="162">
                  <c:v>44013</c:v>
                </c:pt>
                <c:pt idx="163">
                  <c:v>44044</c:v>
                </c:pt>
                <c:pt idx="164">
                  <c:v>44075</c:v>
                </c:pt>
                <c:pt idx="165">
                  <c:v>44105</c:v>
                </c:pt>
                <c:pt idx="166">
                  <c:v>44136</c:v>
                </c:pt>
                <c:pt idx="167">
                  <c:v>44166</c:v>
                </c:pt>
                <c:pt idx="168">
                  <c:v>44197</c:v>
                </c:pt>
                <c:pt idx="169">
                  <c:v>44228</c:v>
                </c:pt>
                <c:pt idx="170">
                  <c:v>44256</c:v>
                </c:pt>
                <c:pt idx="171">
                  <c:v>44287</c:v>
                </c:pt>
                <c:pt idx="172">
                  <c:v>44317</c:v>
                </c:pt>
                <c:pt idx="173">
                  <c:v>44348</c:v>
                </c:pt>
                <c:pt idx="174">
                  <c:v>44378</c:v>
                </c:pt>
                <c:pt idx="175">
                  <c:v>44409</c:v>
                </c:pt>
                <c:pt idx="176">
                  <c:v>44440</c:v>
                </c:pt>
                <c:pt idx="177">
                  <c:v>44470</c:v>
                </c:pt>
                <c:pt idx="178">
                  <c:v>44501</c:v>
                </c:pt>
                <c:pt idx="179">
                  <c:v>44531</c:v>
                </c:pt>
                <c:pt idx="180">
                  <c:v>44562</c:v>
                </c:pt>
                <c:pt idx="181">
                  <c:v>44593</c:v>
                </c:pt>
                <c:pt idx="182">
                  <c:v>44621</c:v>
                </c:pt>
                <c:pt idx="183">
                  <c:v>44652</c:v>
                </c:pt>
                <c:pt idx="184">
                  <c:v>44682</c:v>
                </c:pt>
                <c:pt idx="185">
                  <c:v>44713</c:v>
                </c:pt>
                <c:pt idx="186">
                  <c:v>44743</c:v>
                </c:pt>
                <c:pt idx="187">
                  <c:v>44774</c:v>
                </c:pt>
                <c:pt idx="188">
                  <c:v>44805</c:v>
                </c:pt>
                <c:pt idx="189">
                  <c:v>44835</c:v>
                </c:pt>
                <c:pt idx="190">
                  <c:v>44866</c:v>
                </c:pt>
                <c:pt idx="191">
                  <c:v>44896</c:v>
                </c:pt>
                <c:pt idx="192">
                  <c:v>44927</c:v>
                </c:pt>
                <c:pt idx="193">
                  <c:v>44958</c:v>
                </c:pt>
                <c:pt idx="194">
                  <c:v>44986</c:v>
                </c:pt>
                <c:pt idx="195">
                  <c:v>45017</c:v>
                </c:pt>
                <c:pt idx="196">
                  <c:v>45047</c:v>
                </c:pt>
                <c:pt idx="197">
                  <c:v>45078</c:v>
                </c:pt>
                <c:pt idx="198">
                  <c:v>45108</c:v>
                </c:pt>
                <c:pt idx="199">
                  <c:v>45139</c:v>
                </c:pt>
                <c:pt idx="200">
                  <c:v>45170</c:v>
                </c:pt>
                <c:pt idx="201">
                  <c:v>45200</c:v>
                </c:pt>
                <c:pt idx="202">
                  <c:v>45231</c:v>
                </c:pt>
                <c:pt idx="203">
                  <c:v>45261</c:v>
                </c:pt>
                <c:pt idx="204">
                  <c:v>45292</c:v>
                </c:pt>
                <c:pt idx="205">
                  <c:v>45323</c:v>
                </c:pt>
              </c:numCache>
            </c:numRef>
          </c:cat>
          <c:val>
            <c:numRef>
              <c:f>'rig counts'!$B$2:$B$871</c:f>
              <c:numCache>
                <c:formatCode>0.00</c:formatCode>
                <c:ptCount val="870"/>
                <c:pt idx="0">
                  <c:v>853.19999999999993</c:v>
                </c:pt>
                <c:pt idx="1">
                  <c:v>869.80000000000007</c:v>
                </c:pt>
                <c:pt idx="2">
                  <c:v>851.1</c:v>
                </c:pt>
                <c:pt idx="3">
                  <c:v>854</c:v>
                </c:pt>
                <c:pt idx="4">
                  <c:v>860</c:v>
                </c:pt>
                <c:pt idx="5">
                  <c:v>874</c:v>
                </c:pt>
                <c:pt idx="6">
                  <c:v>875</c:v>
                </c:pt>
                <c:pt idx="7">
                  <c:v>901</c:v>
                </c:pt>
                <c:pt idx="8">
                  <c:v>885</c:v>
                </c:pt>
                <c:pt idx="9">
                  <c:v>877</c:v>
                </c:pt>
                <c:pt idx="10">
                  <c:v>891</c:v>
                </c:pt>
                <c:pt idx="11">
                  <c:v>910</c:v>
                </c:pt>
                <c:pt idx="12">
                  <c:v>871</c:v>
                </c:pt>
                <c:pt idx="13">
                  <c:v>892</c:v>
                </c:pt>
                <c:pt idx="14">
                  <c:v>915</c:v>
                </c:pt>
                <c:pt idx="15">
                  <c:v>930</c:v>
                </c:pt>
                <c:pt idx="16">
                  <c:v>954</c:v>
                </c:pt>
                <c:pt idx="17">
                  <c:v>979</c:v>
                </c:pt>
                <c:pt idx="18">
                  <c:v>987</c:v>
                </c:pt>
                <c:pt idx="19">
                  <c:v>1032</c:v>
                </c:pt>
                <c:pt idx="20">
                  <c:v>1055</c:v>
                </c:pt>
                <c:pt idx="21">
                  <c:v>1045</c:v>
                </c:pt>
                <c:pt idx="22">
                  <c:v>1027</c:v>
                </c:pt>
                <c:pt idx="23">
                  <c:v>934</c:v>
                </c:pt>
                <c:pt idx="24">
                  <c:v>793</c:v>
                </c:pt>
                <c:pt idx="25">
                  <c:v>675</c:v>
                </c:pt>
                <c:pt idx="26">
                  <c:v>568</c:v>
                </c:pt>
                <c:pt idx="27">
                  <c:v>498</c:v>
                </c:pt>
                <c:pt idx="28">
                  <c:v>457</c:v>
                </c:pt>
                <c:pt idx="29">
                  <c:v>458</c:v>
                </c:pt>
                <c:pt idx="30">
                  <c:v>496</c:v>
                </c:pt>
                <c:pt idx="31">
                  <c:v>540</c:v>
                </c:pt>
                <c:pt idx="32">
                  <c:v>571</c:v>
                </c:pt>
                <c:pt idx="33">
                  <c:v>595</c:v>
                </c:pt>
                <c:pt idx="34">
                  <c:v>657</c:v>
                </c:pt>
                <c:pt idx="35">
                  <c:v>720</c:v>
                </c:pt>
                <c:pt idx="36">
                  <c:v>785</c:v>
                </c:pt>
                <c:pt idx="37">
                  <c:v>835</c:v>
                </c:pt>
                <c:pt idx="38">
                  <c:v>870</c:v>
                </c:pt>
                <c:pt idx="39">
                  <c:v>921</c:v>
                </c:pt>
                <c:pt idx="40">
                  <c:v>947</c:v>
                </c:pt>
                <c:pt idx="41">
                  <c:v>991</c:v>
                </c:pt>
                <c:pt idx="42">
                  <c:v>1037</c:v>
                </c:pt>
                <c:pt idx="43">
                  <c:v>1085</c:v>
                </c:pt>
                <c:pt idx="44">
                  <c:v>1105</c:v>
                </c:pt>
                <c:pt idx="45">
                  <c:v>1157</c:v>
                </c:pt>
                <c:pt idx="46">
                  <c:v>1172</c:v>
                </c:pt>
                <c:pt idx="47">
                  <c:v>1193</c:v>
                </c:pt>
                <c:pt idx="48">
                  <c:v>1243</c:v>
                </c:pt>
                <c:pt idx="49">
                  <c:v>1228</c:v>
                </c:pt>
                <c:pt idx="50">
                  <c:v>1250</c:v>
                </c:pt>
                <c:pt idx="51">
                  <c:v>1297</c:v>
                </c:pt>
                <c:pt idx="52">
                  <c:v>1339</c:v>
                </c:pt>
                <c:pt idx="53">
                  <c:v>1364</c:v>
                </c:pt>
                <c:pt idx="54">
                  <c:v>1377</c:v>
                </c:pt>
                <c:pt idx="55">
                  <c:v>1447</c:v>
                </c:pt>
                <c:pt idx="56">
                  <c:v>1476</c:v>
                </c:pt>
                <c:pt idx="57">
                  <c:v>1503</c:v>
                </c:pt>
                <c:pt idx="58">
                  <c:v>1486</c:v>
                </c:pt>
                <c:pt idx="59">
                  <c:v>1491</c:v>
                </c:pt>
                <c:pt idx="60">
                  <c:v>1493</c:v>
                </c:pt>
                <c:pt idx="61">
                  <c:v>1487</c:v>
                </c:pt>
                <c:pt idx="62">
                  <c:v>1494</c:v>
                </c:pt>
                <c:pt idx="63">
                  <c:v>1494</c:v>
                </c:pt>
                <c:pt idx="64">
                  <c:v>1510</c:v>
                </c:pt>
                <c:pt idx="65">
                  <c:v>1509</c:v>
                </c:pt>
                <c:pt idx="66">
                  <c:v>1486</c:v>
                </c:pt>
                <c:pt idx="67">
                  <c:v>1444</c:v>
                </c:pt>
                <c:pt idx="68">
                  <c:v>1397</c:v>
                </c:pt>
                <c:pt idx="69">
                  <c:v>1389</c:v>
                </c:pt>
                <c:pt idx="70">
                  <c:v>1372</c:v>
                </c:pt>
                <c:pt idx="71">
                  <c:v>1364</c:v>
                </c:pt>
                <c:pt idx="72">
                  <c:v>1364</c:v>
                </c:pt>
                <c:pt idx="73">
                  <c:v>1368</c:v>
                </c:pt>
                <c:pt idx="74">
                  <c:v>1360</c:v>
                </c:pt>
                <c:pt idx="75">
                  <c:v>1356</c:v>
                </c:pt>
                <c:pt idx="76">
                  <c:v>1357</c:v>
                </c:pt>
                <c:pt idx="77">
                  <c:v>1350</c:v>
                </c:pt>
                <c:pt idx="78">
                  <c:v>1356</c:v>
                </c:pt>
                <c:pt idx="79">
                  <c:v>1371</c:v>
                </c:pt>
                <c:pt idx="80">
                  <c:v>1356</c:v>
                </c:pt>
                <c:pt idx="81">
                  <c:v>1356</c:v>
                </c:pt>
                <c:pt idx="82">
                  <c:v>1369</c:v>
                </c:pt>
                <c:pt idx="83">
                  <c:v>1386</c:v>
                </c:pt>
                <c:pt idx="84">
                  <c:v>1390</c:v>
                </c:pt>
                <c:pt idx="85">
                  <c:v>1395</c:v>
                </c:pt>
                <c:pt idx="86">
                  <c:v>1433</c:v>
                </c:pt>
                <c:pt idx="87">
                  <c:v>1469</c:v>
                </c:pt>
                <c:pt idx="88">
                  <c:v>1478</c:v>
                </c:pt>
                <c:pt idx="89">
                  <c:v>1483</c:v>
                </c:pt>
                <c:pt idx="90">
                  <c:v>1501</c:v>
                </c:pt>
                <c:pt idx="91">
                  <c:v>1517</c:v>
                </c:pt>
                <c:pt idx="92">
                  <c:v>1544</c:v>
                </c:pt>
                <c:pt idx="93">
                  <c:v>1549</c:v>
                </c:pt>
                <c:pt idx="94">
                  <c:v>1548</c:v>
                </c:pt>
                <c:pt idx="95">
                  <c:v>1513</c:v>
                </c:pt>
                <c:pt idx="96">
                  <c:v>1368</c:v>
                </c:pt>
                <c:pt idx="97">
                  <c:v>1083</c:v>
                </c:pt>
                <c:pt idx="98">
                  <c:v>895</c:v>
                </c:pt>
                <c:pt idx="99">
                  <c:v>784</c:v>
                </c:pt>
                <c:pt idx="100">
                  <c:v>701</c:v>
                </c:pt>
                <c:pt idx="101">
                  <c:v>681</c:v>
                </c:pt>
                <c:pt idx="102">
                  <c:v>682</c:v>
                </c:pt>
                <c:pt idx="103">
                  <c:v>694</c:v>
                </c:pt>
                <c:pt idx="104">
                  <c:v>667</c:v>
                </c:pt>
                <c:pt idx="105">
                  <c:v>610</c:v>
                </c:pt>
                <c:pt idx="106">
                  <c:v>586</c:v>
                </c:pt>
                <c:pt idx="107">
                  <c:v>562</c:v>
                </c:pt>
                <c:pt idx="108">
                  <c:v>512</c:v>
                </c:pt>
                <c:pt idx="109">
                  <c:v>421</c:v>
                </c:pt>
                <c:pt idx="110">
                  <c:v>371</c:v>
                </c:pt>
                <c:pt idx="111">
                  <c:v>340</c:v>
                </c:pt>
                <c:pt idx="112">
                  <c:v>316</c:v>
                </c:pt>
                <c:pt idx="113">
                  <c:v>329</c:v>
                </c:pt>
                <c:pt idx="114">
                  <c:v>359</c:v>
                </c:pt>
                <c:pt idx="115">
                  <c:v>394</c:v>
                </c:pt>
                <c:pt idx="116">
                  <c:v>421</c:v>
                </c:pt>
                <c:pt idx="117">
                  <c:v>445</c:v>
                </c:pt>
                <c:pt idx="118">
                  <c:v>481</c:v>
                </c:pt>
                <c:pt idx="119">
                  <c:v>538</c:v>
                </c:pt>
                <c:pt idx="120">
                  <c:v>582</c:v>
                </c:pt>
                <c:pt idx="121">
                  <c:v>637</c:v>
                </c:pt>
                <c:pt idx="122">
                  <c:v>679</c:v>
                </c:pt>
                <c:pt idx="123">
                  <c:v>736</c:v>
                </c:pt>
                <c:pt idx="124">
                  <c:v>769</c:v>
                </c:pt>
                <c:pt idx="125">
                  <c:v>801</c:v>
                </c:pt>
                <c:pt idx="126">
                  <c:v>815</c:v>
                </c:pt>
                <c:pt idx="127">
                  <c:v>814</c:v>
                </c:pt>
                <c:pt idx="128">
                  <c:v>810</c:v>
                </c:pt>
                <c:pt idx="129">
                  <c:v>796</c:v>
                </c:pt>
                <c:pt idx="130">
                  <c:v>791</c:v>
                </c:pt>
                <c:pt idx="131">
                  <c:v>811</c:v>
                </c:pt>
                <c:pt idx="132">
                  <c:v>820</c:v>
                </c:pt>
                <c:pt idx="133">
                  <c:v>862</c:v>
                </c:pt>
                <c:pt idx="134">
                  <c:v>879</c:v>
                </c:pt>
                <c:pt idx="135">
                  <c:v>898</c:v>
                </c:pt>
                <c:pt idx="136">
                  <c:v>931</c:v>
                </c:pt>
                <c:pt idx="137">
                  <c:v>944</c:v>
                </c:pt>
                <c:pt idx="138">
                  <c:v>942</c:v>
                </c:pt>
                <c:pt idx="139">
                  <c:v>941</c:v>
                </c:pt>
                <c:pt idx="140">
                  <c:v>939</c:v>
                </c:pt>
                <c:pt idx="141">
                  <c:v>947</c:v>
                </c:pt>
                <c:pt idx="142">
                  <c:v>958</c:v>
                </c:pt>
                <c:pt idx="143">
                  <c:v>953</c:v>
                </c:pt>
                <c:pt idx="144">
                  <c:v>952</c:v>
                </c:pt>
                <c:pt idx="145">
                  <c:v>937</c:v>
                </c:pt>
                <c:pt idx="146">
                  <c:v>915</c:v>
                </c:pt>
                <c:pt idx="147">
                  <c:v>909</c:v>
                </c:pt>
                <c:pt idx="148">
                  <c:v>881</c:v>
                </c:pt>
                <c:pt idx="149">
                  <c:v>861</c:v>
                </c:pt>
                <c:pt idx="150">
                  <c:v>847</c:v>
                </c:pt>
                <c:pt idx="151">
                  <c:v>821</c:v>
                </c:pt>
                <c:pt idx="152">
                  <c:v>781</c:v>
                </c:pt>
                <c:pt idx="153">
                  <c:v>759</c:v>
                </c:pt>
                <c:pt idx="154">
                  <c:v>729</c:v>
                </c:pt>
                <c:pt idx="155">
                  <c:v>717</c:v>
                </c:pt>
                <c:pt idx="156">
                  <c:v>715</c:v>
                </c:pt>
                <c:pt idx="157">
                  <c:v>718</c:v>
                </c:pt>
                <c:pt idx="158">
                  <c:v>701</c:v>
                </c:pt>
                <c:pt idx="159">
                  <c:v>515</c:v>
                </c:pt>
                <c:pt idx="160">
                  <c:v>316</c:v>
                </c:pt>
                <c:pt idx="161">
                  <c:v>245</c:v>
                </c:pt>
                <c:pt idx="162">
                  <c:v>225</c:v>
                </c:pt>
                <c:pt idx="163">
                  <c:v>222</c:v>
                </c:pt>
                <c:pt idx="164">
                  <c:v>226</c:v>
                </c:pt>
                <c:pt idx="165">
                  <c:v>249</c:v>
                </c:pt>
                <c:pt idx="166">
                  <c:v>280</c:v>
                </c:pt>
                <c:pt idx="167">
                  <c:v>305</c:v>
                </c:pt>
                <c:pt idx="168">
                  <c:v>332</c:v>
                </c:pt>
                <c:pt idx="169">
                  <c:v>360</c:v>
                </c:pt>
                <c:pt idx="170">
                  <c:v>374</c:v>
                </c:pt>
                <c:pt idx="171">
                  <c:v>394</c:v>
                </c:pt>
                <c:pt idx="172">
                  <c:v>407</c:v>
                </c:pt>
                <c:pt idx="173">
                  <c:v>417</c:v>
                </c:pt>
                <c:pt idx="174">
                  <c:v>430</c:v>
                </c:pt>
                <c:pt idx="175">
                  <c:v>449</c:v>
                </c:pt>
                <c:pt idx="176">
                  <c:v>466</c:v>
                </c:pt>
                <c:pt idx="177">
                  <c:v>480</c:v>
                </c:pt>
                <c:pt idx="178">
                  <c:v>497</c:v>
                </c:pt>
                <c:pt idx="179">
                  <c:v>522</c:v>
                </c:pt>
                <c:pt idx="180">
                  <c:v>542</c:v>
                </c:pt>
                <c:pt idx="181">
                  <c:v>574</c:v>
                </c:pt>
                <c:pt idx="182">
                  <c:v>598</c:v>
                </c:pt>
                <c:pt idx="183">
                  <c:v>626</c:v>
                </c:pt>
                <c:pt idx="184">
                  <c:v>648</c:v>
                </c:pt>
                <c:pt idx="185">
                  <c:v>662</c:v>
                </c:pt>
                <c:pt idx="186">
                  <c:v>670</c:v>
                </c:pt>
                <c:pt idx="187">
                  <c:v>675</c:v>
                </c:pt>
                <c:pt idx="188">
                  <c:v>672</c:v>
                </c:pt>
                <c:pt idx="189">
                  <c:v>683</c:v>
                </c:pt>
                <c:pt idx="190">
                  <c:v>695</c:v>
                </c:pt>
                <c:pt idx="191">
                  <c:v>697</c:v>
                </c:pt>
                <c:pt idx="192">
                  <c:v>699</c:v>
                </c:pt>
                <c:pt idx="193">
                  <c:v>693</c:v>
                </c:pt>
                <c:pt idx="194">
                  <c:v>685</c:v>
                </c:pt>
                <c:pt idx="195">
                  <c:v>680</c:v>
                </c:pt>
                <c:pt idx="196">
                  <c:v>647</c:v>
                </c:pt>
                <c:pt idx="197">
                  <c:v>616</c:v>
                </c:pt>
                <c:pt idx="198">
                  <c:v>599</c:v>
                </c:pt>
                <c:pt idx="199">
                  <c:v>576</c:v>
                </c:pt>
                <c:pt idx="200">
                  <c:v>557</c:v>
                </c:pt>
                <c:pt idx="201">
                  <c:v>549</c:v>
                </c:pt>
                <c:pt idx="202">
                  <c:v>548</c:v>
                </c:pt>
                <c:pt idx="203">
                  <c:v>555</c:v>
                </c:pt>
                <c:pt idx="204">
                  <c:v>552</c:v>
                </c:pt>
                <c:pt idx="205" formatCode="General">
                  <c:v>557</c:v>
                </c:pt>
              </c:numCache>
            </c:numRef>
          </c:val>
          <c:extLst>
            <c:ext xmlns:c16="http://schemas.microsoft.com/office/drawing/2014/chart" uri="{C3380CC4-5D6E-409C-BE32-E72D297353CC}">
              <c16:uniqueId val="{00000000-68C3-4F1C-BFCC-6E4B9A7A23FB}"/>
            </c:ext>
          </c:extLst>
        </c:ser>
        <c:dLbls>
          <c:showLegendKey val="0"/>
          <c:showVal val="0"/>
          <c:showCatName val="0"/>
          <c:showSerName val="0"/>
          <c:showPercent val="0"/>
          <c:showBubbleSize val="0"/>
        </c:dLbls>
        <c:axId val="1060505200"/>
        <c:axId val="1060501592"/>
      </c:areaChart>
      <c:dateAx>
        <c:axId val="1060505200"/>
        <c:scaling>
          <c:orientation val="minMax"/>
          <c:min val="40909"/>
        </c:scaling>
        <c:delete val="0"/>
        <c:axPos val="b"/>
        <c:numFmt formatCode="yyyy" sourceLinked="0"/>
        <c:majorTickMark val="out"/>
        <c:minorTickMark val="none"/>
        <c:tickLblPos val="nextTo"/>
        <c:spPr>
          <a:noFill/>
          <a:ln w="9525" cap="flat" cmpd="sng" algn="ctr">
            <a:solidFill>
              <a:srgbClr val="3C3C3C"/>
            </a:solidFill>
            <a:round/>
          </a:ln>
          <a:effectLst/>
        </c:spPr>
        <c:txPr>
          <a:bodyPr rot="-60000000" spcFirstLastPara="1" vertOverflow="ellipsis" vert="horz" wrap="square" anchor="ctr" anchorCtr="1"/>
          <a:lstStyle/>
          <a:p>
            <a:pPr>
              <a:defRPr sz="800" b="0" i="0" u="none" strike="noStrike" kern="1200" baseline="0">
                <a:solidFill>
                  <a:srgbClr val="3C3C3C"/>
                </a:solidFill>
                <a:latin typeface="Wells Fargo Sans" panose="020B0503020203020204" pitchFamily="34" charset="0"/>
                <a:ea typeface="+mn-ea"/>
                <a:cs typeface="+mn-cs"/>
              </a:defRPr>
            </a:pPr>
            <a:endParaRPr lang="en-US"/>
          </a:p>
        </c:txPr>
        <c:crossAx val="1060501592"/>
        <c:crosses val="autoZero"/>
        <c:auto val="1"/>
        <c:lblOffset val="100"/>
        <c:baseTimeUnit val="months"/>
        <c:majorUnit val="12"/>
        <c:majorTimeUnit val="months"/>
        <c:minorUnit val="17"/>
      </c:dateAx>
      <c:valAx>
        <c:axId val="106050159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1" i="0" u="none" strike="noStrike" kern="1200" baseline="0">
                    <a:solidFill>
                      <a:srgbClr val="3C3C3C"/>
                    </a:solidFill>
                    <a:latin typeface="Wells Fargo Sans" panose="020B0503020203020204" pitchFamily="34" charset="0"/>
                    <a:ea typeface="+mn-ea"/>
                    <a:cs typeface="+mn-cs"/>
                  </a:defRPr>
                </a:pPr>
                <a:r>
                  <a:rPr lang="en-US" sz="800" b="1" dirty="0"/>
                  <a:t>Oil rig count</a:t>
                </a:r>
              </a:p>
            </c:rich>
          </c:tx>
          <c:layout>
            <c:manualLayout>
              <c:xMode val="edge"/>
              <c:yMode val="edge"/>
              <c:x val="1.4121071404535966E-3"/>
              <c:y val="0.38789761744898166"/>
            </c:manualLayout>
          </c:layout>
          <c:overlay val="0"/>
          <c:spPr>
            <a:noFill/>
            <a:ln>
              <a:noFill/>
            </a:ln>
            <a:effectLst/>
          </c:spPr>
        </c:title>
        <c:numFmt formatCode="#,##0" sourceLinked="0"/>
        <c:majorTickMark val="out"/>
        <c:minorTickMark val="none"/>
        <c:tickLblPos val="nextTo"/>
        <c:spPr>
          <a:noFill/>
          <a:ln>
            <a:solidFill>
              <a:srgbClr val="3C3C3C"/>
            </a:solidFill>
          </a:ln>
          <a:effectLst/>
        </c:spPr>
        <c:txPr>
          <a:bodyPr rot="-60000000" spcFirstLastPara="1" vertOverflow="ellipsis" vert="horz" wrap="square" anchor="ctr" anchorCtr="1"/>
          <a:lstStyle/>
          <a:p>
            <a:pPr>
              <a:defRPr sz="800" b="0" i="0" u="none" strike="noStrike" kern="1200" baseline="0">
                <a:solidFill>
                  <a:srgbClr val="3C3C3C"/>
                </a:solidFill>
                <a:latin typeface="Wells Fargo Sans" panose="020B0503020203020204" pitchFamily="34" charset="0"/>
                <a:ea typeface="+mn-ea"/>
                <a:cs typeface="+mn-cs"/>
              </a:defRPr>
            </a:pPr>
            <a:endParaRPr lang="en-US"/>
          </a:p>
        </c:txPr>
        <c:crossAx val="1060505200"/>
        <c:crosses val="autoZero"/>
        <c:crossBetween val="midCat"/>
      </c:valAx>
      <c:spPr>
        <a:solidFill>
          <a:schemeClr val="bg1"/>
        </a:solidFill>
        <a:ln>
          <a:noFill/>
        </a:ln>
        <a:effectLst/>
      </c:spPr>
    </c:plotArea>
    <c:plotVisOnly val="1"/>
    <c:dispBlanksAs val="gap"/>
    <c:showDLblsOverMax val="0"/>
  </c:chart>
  <c:spPr>
    <a:solidFill>
      <a:srgbClr val="F0F0F0">
        <a:alpha val="60000"/>
      </a:srgbClr>
    </a:solidFill>
    <a:ln w="9525" cap="flat" cmpd="sng" algn="ctr">
      <a:noFill/>
      <a:round/>
    </a:ln>
    <a:effectLst/>
  </c:spPr>
  <c:txPr>
    <a:bodyPr/>
    <a:lstStyle/>
    <a:p>
      <a:pPr>
        <a:defRPr sz="900">
          <a:solidFill>
            <a:srgbClr val="3C3C3C"/>
          </a:solidFill>
          <a:latin typeface="Wells Fargo Sans" panose="020B0503020203020204" pitchFamily="34"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0.40648</cdr:x>
      <cdr:y>0.22906</cdr:y>
    </cdr:from>
    <cdr:to>
      <cdr:x>0.87282</cdr:x>
      <cdr:y>0.52217</cdr:y>
    </cdr:to>
    <cdr:cxnSp macro="">
      <cdr:nvCxnSpPr>
        <cdr:cNvPr id="2" name="Straight Arrow Connector 1">
          <a:extLst xmlns:a="http://schemas.openxmlformats.org/drawingml/2006/main">
            <a:ext uri="{FF2B5EF4-FFF2-40B4-BE49-F238E27FC236}">
              <a16:creationId xmlns:a16="http://schemas.microsoft.com/office/drawing/2014/main" id="{1D8B33E2-BAC8-C54A-746E-27F31B10E17E}"/>
            </a:ext>
          </a:extLst>
        </cdr:cNvPr>
        <cdr:cNvCxnSpPr/>
      </cdr:nvCxnSpPr>
      <cdr:spPr>
        <a:xfrm xmlns:a="http://schemas.openxmlformats.org/drawingml/2006/main">
          <a:off x="3105151" y="885826"/>
          <a:ext cx="3562350" cy="1133475"/>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0.65385</cdr:x>
      <cdr:y>0.27465</cdr:y>
    </cdr:from>
    <cdr:to>
      <cdr:x>1</cdr:x>
      <cdr:y>0.4797</cdr:y>
    </cdr:to>
    <cdr:sp macro="" textlink="">
      <cdr:nvSpPr>
        <cdr:cNvPr id="5" name="TextBox 4">
          <a:extLst xmlns:a="http://schemas.openxmlformats.org/drawingml/2006/main">
            <a:ext uri="{FF2B5EF4-FFF2-40B4-BE49-F238E27FC236}">
              <a16:creationId xmlns:a16="http://schemas.microsoft.com/office/drawing/2014/main" id="{E0BC8794-D20C-2452-8ED7-886456BFB3C2}"/>
            </a:ext>
          </a:extLst>
        </cdr:cNvPr>
        <cdr:cNvSpPr txBox="1"/>
      </cdr:nvSpPr>
      <cdr:spPr>
        <a:xfrm xmlns:a="http://schemas.openxmlformats.org/drawingml/2006/main">
          <a:off x="3886200" y="708946"/>
          <a:ext cx="2057400" cy="5293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7BE9A893-C4E4-4DBF-9D7C-B2C1D73AE7F5}" type="TxLink">
            <a:rPr lang="en-US" sz="1100" b="1" i="0" u="none" strike="noStrike">
              <a:solidFill>
                <a:srgbClr val="3C3C3C"/>
              </a:solidFill>
              <a:latin typeface="Wells Fargo Sans"/>
            </a:rPr>
            <a:pPr/>
            <a:t>63% drawdown from peak</a:t>
          </a:fld>
          <a:endParaRPr lang="en-US" sz="11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WFII Market Charts">
    <a:dk1>
      <a:srgbClr val="000000"/>
    </a:dk1>
    <a:lt1>
      <a:srgbClr val="FFFFFF"/>
    </a:lt1>
    <a:dk2>
      <a:srgbClr val="936E3A"/>
    </a:dk2>
    <a:lt2>
      <a:srgbClr val="F4F0ED"/>
    </a:lt2>
    <a:accent1>
      <a:srgbClr val="EB691E"/>
    </a:accent1>
    <a:accent2>
      <a:srgbClr val="5A469B"/>
    </a:accent2>
    <a:accent3>
      <a:srgbClr val="C83255"/>
    </a:accent3>
    <a:accent4>
      <a:srgbClr val="BFB3F2"/>
    </a:accent4>
    <a:accent5>
      <a:srgbClr val="AA1E87"/>
    </a:accent5>
    <a:accent6>
      <a:srgbClr val="FDB1A8"/>
    </a:accent6>
    <a:hlink>
      <a:srgbClr val="5A469B"/>
    </a:hlink>
    <a:folHlink>
      <a:srgbClr val="5A469B"/>
    </a:folHlink>
  </a:clrScheme>
  <a:fontScheme name="Wells Fargo 2019 Fonts">
    <a:majorFont>
      <a:latin typeface="Wells Fargo Sans" panose="020B0503020203020204" pitchFamily="34" charset="0"/>
      <a:ea typeface=""/>
      <a:cs typeface=""/>
    </a:majorFont>
    <a:minorFont>
      <a:latin typeface="Wells Fargo Sans" panose="020B0503020203020204" pitchFamily="34" charset="0"/>
      <a:ea typeface=""/>
      <a:cs typeface=""/>
    </a:minorFont>
  </a:fontScheme>
  <a:fmtScheme name="Wells Fargo 2019 Effects">
    <a:fillStyleLst>
      <a:solidFill>
        <a:schemeClr val="phClr"/>
      </a:solidFill>
      <a:solidFill>
        <a:schemeClr val="phClr"/>
      </a:solidFill>
      <a:solidFill>
        <a:schemeClr val="phClr"/>
      </a:solidFill>
    </a:fillStyleLst>
    <a:lnStyleLst>
      <a:ln w="12700" cap="sq" cmpd="sng" algn="ctr">
        <a:solidFill>
          <a:schemeClr val="phClr"/>
        </a:solidFill>
        <a:prstDash val="solid"/>
      </a:ln>
      <a:ln w="12700" cap="sq" cmpd="sng" algn="ctr">
        <a:solidFill>
          <a:schemeClr val="phClr"/>
        </a:solidFill>
        <a:prstDash val="solid"/>
      </a:ln>
      <a:ln w="12700" cap="sq" cmpd="sng" algn="ctr">
        <a:solidFill>
          <a:schemeClr val="phClr"/>
        </a:solidFill>
        <a:prstDash val="solid"/>
      </a:ln>
    </a:lnStyleLst>
    <a:effectStyleLst>
      <a:effectStyle>
        <a:effectLst/>
      </a:effectStyle>
      <a:effectStyle>
        <a:effectLst/>
      </a:effectStyle>
      <a:effectStyle>
        <a:effectLst>
          <a:outerShdw blurRad="127000" dist="63500" dir="2700000" algn="br" rotWithShape="0">
            <a:srgbClr val="000000">
              <a:alpha val="25000"/>
            </a:srgbClr>
          </a:outerShdw>
        </a:effectLst>
      </a:effectStyle>
    </a:effectStyleLst>
    <a:bgFillStyleLst>
      <a:solidFill>
        <a:schemeClr val="phClr"/>
      </a:solidFill>
      <a:solidFill>
        <a:schemeClr val="phClr"/>
      </a:solidFill>
      <a:solidFill>
        <a:schemeClr val="phClr"/>
      </a:soli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8A3D6-32C8-41C2-95AF-C267D3471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643</Words>
  <Characters>3670</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Wells Fargo N.A.</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O'brien, Josh</dc:creator>
  <cp:keywords/>
  <dc:description/>
  <cp:lastModifiedBy>Gilmore, Melanie D.</cp:lastModifiedBy>
  <cp:revision>2</cp:revision>
  <cp:lastPrinted>2024-02-28T19:45:00Z</cp:lastPrinted>
  <dcterms:created xsi:type="dcterms:W3CDTF">2024-05-30T18:00:00Z</dcterms:created>
  <dcterms:modified xsi:type="dcterms:W3CDTF">2024-05-30T18:00:00Z</dcterms:modified>
</cp:coreProperties>
</file>